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16"/>
      </w:pPr>
      <w:r>
        <w:t xml:space="preserve">国家临床重点专科建设</w:t>
      </w:r>
    </w:p>
    <w:p>
      <w:pPr>
        <w:pStyle w:val="15"/>
      </w:pPr>
      <w:r>
        <w:t xml:space="preserve">指标体系评估</w:t>
      </w:r>
    </w:p>
    <w:p>
      <w:pPr>
        <w:pStyle w:val="25"/>
      </w:pPr>
      <w:r>
        <w:t xml:space="preserve">重症医学科</w:t>
      </w:r>
    </w:p>
    <w:p>
      <w:pPr>
        <w:pStyle w:val="14"/>
      </w:pPr>
      <w:r>
        <w:t xml:space="preserve">2024-01-17</w:t>
      </w:r>
    </w:p>
    <w:bookmarkStart w:id="25" w:name="地方支持情况"/>
    <w:p>
      <w:pPr>
        <w:pStyle w:val="2"/>
      </w:pPr>
      <w:r>
        <w:t xml:space="preserve">1. 地方支持情况</w:t>
      </w:r>
    </w:p>
    <w:bookmarkStart w:id="24" w:name="地方支持情况-1"/>
    <w:p>
      <w:pPr>
        <w:pStyle w:val="4"/>
      </w:pPr>
      <w:r>
        <w:t xml:space="preserve">1.1 地方支持情况</w:t>
      </w:r>
    </w:p>
    <w:bookmarkStart w:id="23" w:name="省级卫生行政部门规划政策制定长效机制建设及投入情况"/>
    <w:p>
      <w:pPr>
        <w:pStyle w:val="5"/>
      </w:pPr>
      <w:r>
        <w:t xml:space="preserve">1.1.1 省级卫生行政部门规划、政策制定、长效机制建设及投入情况</w:t>
      </w:r>
    </w:p>
    <w:p>
      <w:pPr>
        <w:numPr>
          <w:ilvl w:val="0"/>
          <w:numId w:val="1001"/>
        </w:numPr>
      </w:pPr>
      <w:r>
        <w:t xml:space="preserve">规划：</w:t>
      </w:r>
      <w:r>
        <w:t xml:space="preserve"> </w:t>
      </w:r>
      <w:hyperlink r:id="rId20">
        <w:r>
          <w:rPr>
            <w:rStyle w:val="20"/>
          </w:rPr>
          <w:t xml:space="preserve">广东省卫生健康委 广东省发展改革委关于印发广东省医疗卫生服务体系“十四五”规划的通知</w:t>
        </w:r>
      </w:hyperlink>
    </w:p>
    <w:p>
      <w:pPr>
        <w:numPr>
          <w:ilvl w:val="0"/>
          <w:numId w:val="1001"/>
        </w:numPr>
      </w:pPr>
      <w:r>
        <w:t xml:space="preserve">规划解读</w:t>
      </w:r>
      <w:r>
        <w:t xml:space="preserve"> </w:t>
      </w:r>
      <w:hyperlink r:id="rId21">
        <w:r>
          <w:rPr>
            <w:rStyle w:val="20"/>
          </w:rPr>
          <w:t xml:space="preserve">《广东省医疗卫生服务体系“十四五”规划》解读</w:t>
        </w:r>
      </w:hyperlink>
    </w:p>
    <w:p>
      <w:pPr>
        <w:numPr>
          <w:ilvl w:val="0"/>
          <w:numId w:val="1001"/>
        </w:numPr>
      </w:pPr>
      <w:r>
        <w:t xml:space="preserve">培训：</w:t>
      </w:r>
      <w:r>
        <w:t xml:space="preserve"> </w:t>
      </w:r>
      <w:hyperlink r:id="rId22">
        <w:r>
          <w:rPr>
            <w:rStyle w:val="20"/>
          </w:rPr>
          <w:t xml:space="preserve">2023年度广东省提升医疗质量暨国家临床重点专科能力建设工作培训班在广州举办</w:t>
        </w:r>
      </w:hyperlink>
    </w:p>
    <w:p>
      <w:pPr>
        <w:numPr>
          <w:ilvl w:val="0"/>
          <w:numId w:val="1001"/>
        </w:numPr>
      </w:pPr>
      <w:r>
        <w:t xml:space="preserve">投入：国家临床重点专科建设项目经费，省投入120万/年？。</w:t>
      </w:r>
    </w:p>
    <w:bookmarkEnd w:id="23"/>
    <w:bookmarkEnd w:id="24"/>
    <w:bookmarkEnd w:id="25"/>
    <w:bookmarkStart w:id="36" w:name="医院管理情况"/>
    <w:p>
      <w:pPr>
        <w:pStyle w:val="2"/>
      </w:pPr>
      <w:r>
        <w:t xml:space="preserve">2. 医院管理情况</w:t>
      </w:r>
    </w:p>
    <w:bookmarkStart w:id="31" w:name="医院整体管理情况"/>
    <w:p>
      <w:pPr>
        <w:pStyle w:val="4"/>
      </w:pPr>
      <w:r>
        <w:t xml:space="preserve">2.1 医院整体管理情况</w:t>
      </w:r>
    </w:p>
    <w:bookmarkStart w:id="26" w:name="组织管理体系"/>
    <w:p>
      <w:pPr>
        <w:pStyle w:val="5"/>
      </w:pPr>
      <w:r>
        <w:t xml:space="preserve">2.1.1 组织管理体系</w:t>
      </w:r>
    </w:p>
    <w:p>
      <w:pPr>
        <w:pStyle w:val="23"/>
      </w:pPr>
      <w:r>
        <w:t xml:space="preserve">我院是集医疗、教学、科研于一体的大型三级甲等综合医院，组织管理体系为三级管理，实行党委领导下的院长负责制，下设行政职能科室及医院质量和安全管理委员会。</w:t>
      </w:r>
    </w:p>
    <w:bookmarkEnd w:id="26"/>
    <w:bookmarkStart w:id="27" w:name="医院发展规划"/>
    <w:p>
      <w:pPr>
        <w:pStyle w:val="5"/>
      </w:pPr>
      <w:r>
        <w:t xml:space="preserve">2.1.2 医院发展规划</w:t>
      </w:r>
    </w:p>
    <w:p>
      <w:pPr>
        <w:pStyle w:val="23"/>
      </w:pPr>
      <w:r>
        <w:t xml:space="preserve">以党的十九大精神和习近平新时代中国特色社会主义思想为指导，深入贯彻习近平总书记重要讲话精神，坚持“以人为本， 以病人为中心，以质量为核心，以打造区域医疗中心”目标，以构建和谐医患关系为主线，大力实施以德立院、以质强院、文化塑院、科教兴院。</w:t>
      </w:r>
    </w:p>
    <w:p>
      <w:pPr>
        <w:pStyle w:val="3"/>
      </w:pPr>
      <w:r>
        <w:t xml:space="preserve">（1）中期规划目标</w:t>
      </w:r>
      <w:r>
        <w:br/>
      </w:r>
      <w:r>
        <w:t xml:space="preserve">2001年 重点推进医院中心实验室、新药Ⅰ期临床试验基地和生物样本库建设，并遴选医院重点学科。</w:t>
      </w:r>
      <w:r>
        <w:t xml:space="preserve"> </w:t>
      </w:r>
      <w:r>
        <w:t xml:space="preserve">2020-2021年 进一步完善中心实验室、新药Ⅰ期临床试验基地和生物样本库建设，推进院士、博士工作站和博士后流动站建设，争取国家自然科学基金项目实现突破。</w:t>
      </w:r>
      <w:r>
        <w:t xml:space="preserve"> </w:t>
      </w:r>
      <w:r>
        <w:t xml:space="preserve">2022-2023年 持续推进高水平医院建设，积极争取建成1个省级医疗中心，形成临床重点专科群，集中力量开展疑难危重症诊断治疗技术攻关，开展前沿医学科技创新研究和成果转化。</w:t>
      </w:r>
      <w:r>
        <w:t xml:space="preserve"> </w:t>
      </w:r>
      <w:r>
        <w:t xml:space="preserve">（2）长期规划目标</w:t>
      </w:r>
      <w:r>
        <w:br/>
      </w:r>
      <w:r>
        <w:t xml:space="preserve">1）发展前沿医疗技术；2）建设高水平临床科研平台；3）集聚拔尖医学人才； 4）打造一流医学学科；5）建立现代医院管理制度； 6）发挥区域龙头医院优势。</w:t>
      </w:r>
    </w:p>
    <w:bookmarkEnd w:id="27"/>
    <w:bookmarkStart w:id="28" w:name="预算管理制度"/>
    <w:p>
      <w:pPr>
        <w:pStyle w:val="5"/>
      </w:pPr>
      <w:r>
        <w:t xml:space="preserve">2.1.3 预算管理制度</w:t>
      </w:r>
    </w:p>
    <w:p>
      <w:pPr>
        <w:pStyle w:val="23"/>
      </w:pPr>
      <w:r>
        <w:t xml:space="preserve">医院成立专项资金管理领导小组，负责专项资金的统筹、审核、监管、验收等工作。领导下设办公室（设在财务科），具体负责专项资金日常管理。各有关科室要在专项资金管理领导小组统筹管理下，配合完成相关专项资金使用和资料配套工作。</w:t>
      </w:r>
    </w:p>
    <w:bookmarkEnd w:id="28"/>
    <w:bookmarkStart w:id="29" w:name="数据信息报告情况hqmsncis医疗技术临床应用管理等信息系统"/>
    <w:p>
      <w:pPr>
        <w:pStyle w:val="5"/>
      </w:pPr>
      <w:r>
        <w:t xml:space="preserve">2.1.4 数据信息报告情况(HQMS、NCIS、医疗技术临床应用管理等信息系统)</w:t>
      </w:r>
    </w:p>
    <w:p>
      <w:pPr>
        <w:pStyle w:val="23"/>
      </w:pPr>
      <w:r>
        <w:t xml:space="preserve">（空）</w:t>
      </w:r>
    </w:p>
    <w:bookmarkEnd w:id="29"/>
    <w:bookmarkStart w:id="30" w:name="单病种质量管理等质控工作情况"/>
    <w:p>
      <w:pPr>
        <w:pStyle w:val="5"/>
      </w:pPr>
      <w:r>
        <w:t xml:space="preserve">2.1.5 单病种质量管理等质控工作情况</w:t>
      </w:r>
    </w:p>
    <w:p>
      <w:pPr>
        <w:pStyle w:val="23"/>
      </w:pPr>
      <w:r>
        <w:t xml:space="preserve">（空）</w:t>
      </w:r>
    </w:p>
    <w:bookmarkEnd w:id="30"/>
    <w:bookmarkEnd w:id="31"/>
    <w:bookmarkStart w:id="35" w:name="医院对专科支持情况"/>
    <w:p>
      <w:pPr>
        <w:pStyle w:val="4"/>
      </w:pPr>
      <w:r>
        <w:t xml:space="preserve">2.2 医院对专科支持情况</w:t>
      </w:r>
    </w:p>
    <w:bookmarkStart w:id="33" w:name="扶持政策或措施"/>
    <w:p>
      <w:pPr>
        <w:pStyle w:val="5"/>
      </w:pPr>
      <w:r>
        <w:t xml:space="preserve">2.2.1 扶持政策或措施</w:t>
      </w:r>
    </w:p>
    <w:tbl>
      <w:tblPr>
        <w:tblStyle w:val="Table"/>
        <w:tblW w:type="pct" w:w="5000"/>
        <w:tblLook w:firstRow="0" w:lastRow="0" w:firstColumn="0" w:lastColumn="0" w:noHBand="0" w:noVBand="0" w:val="0000"/>
        <w:jc w:val="start"/>
        <w:tblLayout w:type="fixed"/>
      </w:tblPr>
      <w:tblGrid>
        <w:gridCol w:w="7920"/>
      </w:tblGrid>
      <w:tr>
        <w:tc>
          <w:tcPr/>
          <w:bookmarkStart w:id="32" w:name="tbl-provision"/>
          <w:p>
            <w:pPr>
              <w:jc w:val="center"/>
            </w:pPr>
            <w:pPr>
              <w:jc w:val="start"/>
              <w:spacing w:before="200"/>
              <w:pStyle w:val="ImageCaption"/>
            </w:pPr>
            <w:r>
              <w:t xml:space="preserve">表 1— 近3年医院对专科经费投入情况</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24"/>
                    <w:jc w:val="left"/>
                    <w:jc w:val="center"/>
                  </w:pPr>
                  <w:r>
                    <w:t xml:space="preserve">年度</w:t>
                  </w:r>
                </w:p>
              </w:tc>
              <w:tc>
                <w:tcPr/>
                <w:p>
                  <w:pPr>
                    <w:pStyle w:val="24"/>
                    <w:jc w:val="left"/>
                    <w:jc w:val="center"/>
                  </w:pPr>
                  <w:r>
                    <w:t xml:space="preserve">投入金额（万元）</w:t>
                  </w:r>
                </w:p>
              </w:tc>
              <w:tc>
                <w:tcPr/>
                <w:p>
                  <w:pPr>
                    <w:pStyle w:val="24"/>
                    <w:jc w:val="left"/>
                    <w:jc w:val="center"/>
                  </w:pPr>
                  <w:r>
                    <w:t xml:space="preserve">主要用途</w:t>
                  </w:r>
                </w:p>
              </w:tc>
            </w:tr>
            <w:tr>
              <w:tc>
                <w:tcPr/>
                <w:p>
                  <w:pPr>
                    <w:pStyle w:val="24"/>
                    <w:jc w:val="left"/>
                    <w:jc w:val="center"/>
                  </w:pPr>
                  <w:r>
                    <w:t xml:space="preserve">2019</w:t>
                  </w:r>
                </w:p>
              </w:tc>
              <w:tc>
                <w:tcPr/>
                <w:p>
                  <w:pPr>
                    <w:pStyle w:val="24"/>
                    <w:jc w:val="left"/>
                    <w:jc w:val="center"/>
                  </w:pPr>
                  <w:r>
                    <w:t xml:space="preserve">1781.92</w:t>
                  </w:r>
                </w:p>
              </w:tc>
              <w:tc>
                <w:tcPr/>
                <w:p>
                  <w:pPr>
                    <w:pStyle w:val="24"/>
                    <w:jc w:val="left"/>
                    <w:jc w:val="center"/>
                  </w:pPr>
                  <w:r>
                    <w:t xml:space="preserve">购进设备、引进创新团队</w:t>
                  </w:r>
                </w:p>
              </w:tc>
            </w:tr>
            <w:tr>
              <w:tc>
                <w:tcPr/>
                <w:p>
                  <w:pPr>
                    <w:pStyle w:val="24"/>
                    <w:jc w:val="left"/>
                    <w:jc w:val="center"/>
                  </w:pPr>
                  <w:r>
                    <w:t xml:space="preserve">2020</w:t>
                  </w:r>
                </w:p>
              </w:tc>
              <w:tc>
                <w:tcPr/>
                <w:p>
                  <w:pPr>
                    <w:pStyle w:val="24"/>
                    <w:jc w:val="left"/>
                    <w:jc w:val="center"/>
                  </w:pPr>
                  <w:r>
                    <w:t xml:space="preserve">771.18</w:t>
                  </w:r>
                </w:p>
              </w:tc>
              <w:tc>
                <w:tcPr/>
                <w:p>
                  <w:pPr>
                    <w:pStyle w:val="24"/>
                    <w:jc w:val="left"/>
                    <w:jc w:val="center"/>
                  </w:pPr>
                  <w:r>
                    <w:t xml:space="preserve">购进设备、优秀青年人才培养</w:t>
                  </w:r>
                </w:p>
              </w:tc>
            </w:tr>
            <w:tr>
              <w:tc>
                <w:tcPr/>
                <w:p>
                  <w:pPr>
                    <w:pStyle w:val="24"/>
                    <w:jc w:val="left"/>
                    <w:jc w:val="center"/>
                  </w:pPr>
                  <w:r>
                    <w:t xml:space="preserve">2021</w:t>
                  </w:r>
                </w:p>
              </w:tc>
              <w:tc>
                <w:tcPr/>
                <w:p>
                  <w:pPr>
                    <w:pStyle w:val="24"/>
                    <w:jc w:val="left"/>
                    <w:jc w:val="center"/>
                  </w:pPr>
                  <w:r>
                    <w:t xml:space="preserve">1240.48</w:t>
                  </w:r>
                </w:p>
              </w:tc>
              <w:tc>
                <w:tcPr/>
                <w:p>
                  <w:pPr>
                    <w:pStyle w:val="24"/>
                    <w:jc w:val="left"/>
                    <w:jc w:val="center"/>
                  </w:pPr>
                  <w:r>
                    <w:t xml:space="preserve">购进设备</w:t>
                  </w:r>
                </w:p>
              </w:tc>
            </w:tr>
            <w:tr>
              <w:tc>
                <w:tcPr/>
                <w:p>
                  <w:pPr>
                    <w:pStyle w:val="24"/>
                    <w:jc w:val="left"/>
                    <w:jc w:val="center"/>
                  </w:pPr>
                  <w:r>
                    <w:t xml:space="preserve">合计</w:t>
                  </w:r>
                </w:p>
              </w:tc>
              <w:tc>
                <w:tcPr/>
                <w:p>
                  <w:pPr>
                    <w:pStyle w:val="24"/>
                    <w:jc w:val="left"/>
                    <w:jc w:val="center"/>
                  </w:pPr>
                  <w:r>
                    <w:t xml:space="preserve">3793.58</w:t>
                  </w:r>
                </w:p>
              </w:tc>
              <w:tc>
                <w:tcPr/>
                <w:p>
                  <w:pPr>
                    <w:pStyle w:val="24"/>
                    <w:jc w:val="left"/>
                    <w:jc w:val="center"/>
                  </w:pPr>
                  <w:r>
                    <w:t xml:space="preserve">-</w:t>
                  </w:r>
                </w:p>
              </w:tc>
            </w:tr>
          </w:tbl>
          <w:bookmarkEnd w:id="32"/>
          <w:p/>
        </w:tc>
      </w:tr>
    </w:tbl>
    <w:bookmarkEnd w:id="33"/>
    <w:bookmarkStart w:id="34" w:name="软硬件支持"/>
    <w:p>
      <w:pPr>
        <w:pStyle w:val="5"/>
      </w:pPr>
      <w:r>
        <w:t xml:space="preserve">2.2.2 软、硬件支持</w:t>
      </w:r>
    </w:p>
    <w:p>
      <w:pPr>
        <w:pStyle w:val="23"/>
      </w:pPr>
      <w:r>
        <w:t xml:space="preserve">学科建设是医院发展的基石和医疗技术水平提高的助推器，截至2021年底，我院拥有广东省临床重点专科4个、广东省重点扶持专科2个，茂名市临床重点专科6个。2018年11月，我院成为广东省高水平医院第二批重点建设单位，遴选18个学科作为重点建设专科（其中重症医学科为重点建设专科之一），引进人才、外送人员进修学习，取得了明显成效。医院相关配套科室康复科在艾力彼“2021届地级市医院专科排行榜”中跻身全国专科30强。药学部在抗生素使用指导、药物不良反应监测、合理规范处方等方面形成了完善的管理流程和制度。临床营养科指导全院科室病人营养风险评估及合理营养。</w:t>
      </w:r>
    </w:p>
    <w:p>
      <w:pPr>
        <w:pStyle w:val="3"/>
      </w:pPr>
      <w:r>
        <w:t xml:space="preserve">围绕重症医学科各个亚专科，组建以王铮主任为学科带头人，以中青年学术骨干为支撑，培养有稳定的研究方向和可持续发展能力的临床、教学、科研队伍。在各亚专科带头人和学科骨干的带领下，开展了重症心脏病、重症呼吸疾病、重症创伤、重症产妇及重症肾病等治疗，取得了显著效果，达到省内先进水平。创建重症医学中心，使各亚专科同质化发展。我科联合培养博士后7人，其中3人获得国家级项目资助，在学科发展、医疗科研协同发展方面发挥引领带领作用。有计划引进一些国内先进设备，补充科室原有常规设备不足，使科室的装备满足临床和科研的基本要求，如：体外膜肺氧合机（ECMO)、高端血透机、呼吸机等。</w:t>
      </w:r>
    </w:p>
    <w:bookmarkEnd w:id="34"/>
    <w:bookmarkEnd w:id="35"/>
    <w:bookmarkEnd w:id="36"/>
    <w:bookmarkStart w:id="43" w:name="专科建设与服务情况"/>
    <w:p>
      <w:pPr>
        <w:pStyle w:val="2"/>
      </w:pPr>
      <w:r>
        <w:t xml:space="preserve">3. 专科建设与服务情况</w:t>
      </w:r>
    </w:p>
    <w:bookmarkStart w:id="39" w:name="专科建设"/>
    <w:p>
      <w:pPr>
        <w:pStyle w:val="4"/>
      </w:pPr>
      <w:r>
        <w:t xml:space="preserve">3.1 专科建设</w:t>
      </w:r>
    </w:p>
    <w:bookmarkStart w:id="37" w:name="亚专科建设"/>
    <w:p>
      <w:pPr>
        <w:pStyle w:val="5"/>
      </w:pPr>
      <w:r>
        <w:t xml:space="preserve">3.1.1 亚专科建设</w:t>
      </w:r>
    </w:p>
    <w:p>
      <w:pPr>
        <w:pStyle w:val="23"/>
      </w:pPr>
      <w:r>
        <w:t xml:space="preserve">(1)心脏重症亚专科</w:t>
      </w:r>
      <w:r>
        <w:br/>
      </w:r>
      <w:r>
        <w:t xml:space="preserve">适应心脏系统急危重疾病的医疗需求，利用先进的监护设备及PICCO、重症超声等监测手段，开展高水平的体外膜肺氧合、主动脉球囊反搏、临时起搏器等心脏支持技术，并在急诊、心血管内科、心血管外科等多学科协作下提高了心脏系统危重疾病的抢救成功率。对于以往束手无策的重症心脏患者提供生存的机会，促进粤西地区重症心脏专业的发展及技术辐射效果，并在2020年茂名市科学技术局授予茂名市高级生命支持工程技术研究中心。</w:t>
      </w:r>
    </w:p>
    <w:p>
      <w:pPr>
        <w:pStyle w:val="3"/>
      </w:pPr>
      <w:r>
        <w:t xml:space="preserve">(2)呼吸重症亚专科</w:t>
      </w:r>
      <w:r>
        <w:br/>
      </w:r>
      <w:r>
        <w:t xml:space="preserve">适应呼吸系统危重疾病的强化医疗需要，由受过专门训练的医护人员，利用先进的监护设备和治疗技术，开展高水平的气道管理、机械通气及各种特色呼吸支持对呼吸系统危重疾病及并发症进行全面的监护，取得了满足社会医疗需要，提高呼吸系统危重疾病抢救水平的效果，促进呼吸专业技术的发展及辐射。</w:t>
      </w:r>
    </w:p>
    <w:p>
      <w:pPr>
        <w:pStyle w:val="3"/>
      </w:pPr>
      <w:r>
        <w:t xml:space="preserve">(3)重症创伤救治亚专科</w:t>
      </w:r>
      <w:r>
        <w:br/>
      </w:r>
      <w:r>
        <w:t xml:space="preserve">重症创伤的救治是应对重症创伤严重危害人们生命安全和社会负担的需要，重症创伤的重症医学科治疗是提高成功率和减少致残率的重要手段和方法。创伤的危重救治，由受过专门训练的医护人员，熟悉重症创伤理论，依托专业团队的快速反应，快速评估，快速生命支持，利用先进的监护设备和治疗技术，开展限制性液体复苏、损伤控制性手术、获得性创伤性凝血病治疗以及创伤脓毒症防治等提高重症创伤救治诊疗活动，开展高水平的容量复苏、生命支持、创伤手术治疗以及各种特色技术对重症创伤及并发症进行全面的监护，取得了满足社会医疗需要，提高重症创伤的救治水平，达到了促进重症创伤救治的学术发展和技术辐射的效果。</w:t>
      </w:r>
    </w:p>
    <w:p>
      <w:pPr>
        <w:pStyle w:val="3"/>
      </w:pPr>
      <w:r>
        <w:t xml:space="preserve">(4)危重症产妇亚专科</w:t>
      </w:r>
      <w:r>
        <w:br/>
      </w:r>
      <w:r>
        <w:t xml:space="preserve">适应产妇这类特殊人群的危重疾病的医疗需求，由受过专业训练的医务人员，利用先进的监护设备、PICCO、重症超声等监测手段，通过呼吸、心脏、肾脏、肝脏等脏器支持技术，在产科、急诊科、输血科、心血管内科、肾脏内科、感染科、胃肠外科、血管外科等多学科协作下提高了急危重产妇的抢救成功率，保障了更多家庭的完整，被茂名市卫生和计划生育局授予茂名市危重孕产妇救治中心，2020年茂名市科学技术局授予茂名市危重孕产妇救治中心工程技术研究中心。</w:t>
      </w:r>
    </w:p>
    <w:p>
      <w:pPr>
        <w:pStyle w:val="3"/>
      </w:pPr>
      <w:r>
        <w:t xml:space="preserve">(5)重症肾脏亚专科</w:t>
      </w:r>
      <w:r>
        <w:br/>
      </w:r>
      <w:r>
        <w:t xml:space="preserve">适应肾脏系统急危重症疾病的医疗需求，由受过血液净化技术训练的医务人员，开展高水平的血液净化技术，包括CVVH、CVVHD、CHHHDF、血液灌流、血浆置换等，每年开展超4000次，提高了重症肾脏患者生存率，每年开展重症医学会议血液净化专题，提高茂名血液净化水平，促进粤西地区重症肾脏的发展。</w:t>
      </w:r>
    </w:p>
    <w:bookmarkEnd w:id="37"/>
    <w:bookmarkStart w:id="38" w:name="本专科技术特色"/>
    <w:p>
      <w:pPr>
        <w:pStyle w:val="5"/>
      </w:pPr>
      <w:r>
        <w:t xml:space="preserve">3.1.2 本专科技术特色</w:t>
      </w:r>
    </w:p>
    <w:p>
      <w:pPr>
        <w:pStyle w:val="23"/>
      </w:pPr>
      <w:r>
        <w:t xml:space="preserve">(1)体外膜肺氧合（ECMO)</w:t>
      </w:r>
      <w:r>
        <w:br/>
      </w:r>
      <w:r>
        <w:t xml:space="preserve">ECMO技术代表了一个国家、 地区或医院的重症医疗水平。我科开展该技术累积超170例，近3年每年开展均超30例。ECMO主要使严重的心功能、呼吸功能衰竭不成为病人的直接死因，为病人争得了较充分的改进治疗的时间，对严重的以累及心肺功能为主的创伤、中毒、感染以及危重的手术病人提供了部分保障，因该项操作为保守治疗及其他治疗下仍难以维持基本生命体征及内环境时进行，无其他替代方案。我院ECMO成功撤机率超50%，其中成功出院约35%，为本100%死亡的患者提供了生存的机会，并在后期通过康复等手段为患者改善了生活状态。该技术每年均有开展重症会议专题进行宣讲，各级医院对该项技术有进一步的了解，对重症心脏、ARDS等患者的及时抢救具有不可或缺的意义。</w:t>
      </w:r>
    </w:p>
    <w:p>
      <w:pPr>
        <w:pStyle w:val="3"/>
      </w:pPr>
      <w:r>
        <w:t xml:space="preserve">(2)血流动力学监测</w:t>
      </w:r>
      <w:r>
        <w:br/>
      </w:r>
      <w:r>
        <w:t xml:space="preserve">依据物理学的定律，结合生理和病理生理学概念，对血液及其组成成分运动的规律性进行定量地、动态地、连续地测量和分析，并将这些数据反馈性用于对病情发展的了解和对临床治疗的指导。已开展的高水平的血流动力学监测主要包括了PICCO及重症超声技术，PICCO通过热稀释法监测心输出量，可相对全面地反映血流动力学参数与心脏舒缩功能的变化，重症超声在重症医学理论指导下，运用超声技术针对重症患者，问题导向的多目标整合的动态评估过程，是确定重症治疗，尤其是血流动力学治疗方向及指导精细调整的重要手段。每年均有超800次心排学历监测，更是随时进行重症超声评估。两者均为血流动力学的评估的推荐，对危重患者指导液体复苏提供重要的依据。</w:t>
      </w:r>
    </w:p>
    <w:p>
      <w:pPr>
        <w:pStyle w:val="3"/>
      </w:pPr>
      <w:r>
        <w:t xml:space="preserve">(3)俯卧位通气</w:t>
      </w:r>
      <w:r>
        <w:br/>
      </w:r>
      <w:r>
        <w:t xml:space="preserve">目前开展俯卧位通气累积99例，具有改善氧合、改善高碳酸血症、利于肺保护性通气策略的实施及改善右心功能等作用。技术团队参加规范化培训，技术成熟度和依从性逐渐升高，有适应症进行俯卧位通气的比例逐步升高，降低了病死率，解决了ARDS病人难治性低氧的机械通气问题。</w:t>
      </w:r>
    </w:p>
    <w:p>
      <w:pPr>
        <w:pStyle w:val="3"/>
      </w:pPr>
      <w:r>
        <w:t xml:space="preserve">(4)血液净化技术</w:t>
      </w:r>
      <w:r>
        <w:br/>
      </w:r>
      <w:r>
        <w:t xml:space="preserve">把患者血液引出体外并通过一种血液净化装置，除去其中的致病物质（毒素），达到净化血液，治疗疾病的目的，包括持续性肾脏替代、人工肝等技术。每年开展约800次，通过肾脏替代及人工肝治疗，使得肾衰竭、肝衰竭等患者生存率提高，解决了严重肝肾功能衰竭患者毒素蓄积的问题。</w:t>
      </w:r>
    </w:p>
    <w:p>
      <w:pPr>
        <w:pStyle w:val="3"/>
      </w:pPr>
      <w:r>
        <w:t xml:space="preserve">(5)重症创伤救治的控制性液体复苏</w:t>
      </w:r>
      <w:r>
        <w:br/>
      </w:r>
      <w:r>
        <w:t xml:space="preserve">重症创伤的救治模式因病情危重，需要更多的科室在短时间保证患者生命体征、急性控制损伤手术，早期的正确处理能减少患者的创伤、减少脏器功能障碍以及各类并发症。我们根据现代创伤救治理论，对重症创伤病人均进行限制性复苏、并综合救治创伤性凝血病和创伤脓毒症。2019-2021年以来，我科共开展限制性复苏累积90例，能在短时间内恢复病人灌注，减少机体缺血、缺氧以及再灌注损伤，从而减少凝血异常、脏器功能损害以及感染等并发症发生。该技术团队组织全面、体系、规范化培训，技术成熟度和依从性逐渐升高，进行限制性复苏的比例逐步升高，降低了病死率和创伤早期容量复苏的风险。</w:t>
      </w:r>
    </w:p>
    <w:bookmarkEnd w:id="38"/>
    <w:bookmarkEnd w:id="39"/>
    <w:bookmarkStart w:id="42" w:name="技术突破与创新基础"/>
    <w:p>
      <w:pPr>
        <w:pStyle w:val="4"/>
      </w:pPr>
      <w:r>
        <w:t xml:space="preserve">3.2 技术突破与创新基础</w:t>
      </w:r>
    </w:p>
    <w:bookmarkStart w:id="40" w:name="本专科国家级科研项目数近3年"/>
    <w:p>
      <w:pPr>
        <w:pStyle w:val="5"/>
      </w:pPr>
      <w:r>
        <w:t xml:space="preserve">3.2.1 本专科国家级科研项目数(近3年)</w:t>
      </w:r>
    </w:p>
    <w:bookmarkEnd w:id="40"/>
    <w:bookmarkStart w:id="41" w:name="X6d1bf5c333b50dc206f03a274b7f22dff496744"/>
    <w:p>
      <w:pPr>
        <w:pStyle w:val="5"/>
      </w:pPr>
      <w:r>
        <w:t xml:space="preserve">3.2.2 本专科有希望近期取得突破性进展的医疗技术研究项目(重点关注再生医学、生物医学新技术、人工智能、精准医疗等方面)</w:t>
      </w:r>
    </w:p>
    <w:bookmarkEnd w:id="41"/>
    <w:bookmarkEnd w:id="42"/>
    <w:bookmarkEnd w:id="43"/>
    <w:bookmarkStart w:id="48" w:name="人才队伍建设情况"/>
    <w:p>
      <w:pPr>
        <w:pStyle w:val="2"/>
      </w:pPr>
      <w:r>
        <w:t xml:space="preserve">4. 人才队伍建设情况</w:t>
      </w:r>
    </w:p>
    <w:bookmarkStart w:id="47" w:name="人才梯队建设"/>
    <w:p>
      <w:pPr>
        <w:pStyle w:val="4"/>
      </w:pPr>
      <w:r>
        <w:t xml:space="preserve">4.1 人才梯队建设</w:t>
      </w:r>
    </w:p>
    <w:bookmarkStart w:id="44" w:name="本专科人员基本结构情况"/>
    <w:p>
      <w:pPr>
        <w:pStyle w:val="5"/>
      </w:pPr>
      <w:r>
        <w:t xml:space="preserve">4.1.1 本专科人员基本结构情况</w:t>
      </w:r>
    </w:p>
    <w:bookmarkEnd w:id="44"/>
    <w:bookmarkStart w:id="45" w:name="本专科梯队结构配置情况"/>
    <w:p>
      <w:pPr>
        <w:pStyle w:val="5"/>
      </w:pPr>
      <w:r>
        <w:t xml:space="preserve">4.1.2 本专科梯队结构配置情况</w:t>
      </w:r>
    </w:p>
    <w:bookmarkEnd w:id="45"/>
    <w:bookmarkStart w:id="46" w:name="亚专科学科带头人及骨干发展情况"/>
    <w:p>
      <w:pPr>
        <w:pStyle w:val="5"/>
      </w:pPr>
      <w:r>
        <w:t xml:space="preserve">4.1.3 亚专科学科带头人及骨干发展情况</w:t>
      </w:r>
    </w:p>
    <w:bookmarkEnd w:id="46"/>
    <w:bookmarkEnd w:id="47"/>
    <w:bookmarkEnd w:id="48"/>
    <w:bookmarkStart w:id="54" w:name="专业影响力"/>
    <w:p>
      <w:pPr>
        <w:pStyle w:val="2"/>
      </w:pPr>
      <w:r>
        <w:t xml:space="preserve">5. 专业影响力</w:t>
      </w:r>
    </w:p>
    <w:bookmarkStart w:id="51" w:name="医疗辐射能力近3年"/>
    <w:p>
      <w:pPr>
        <w:pStyle w:val="4"/>
      </w:pPr>
      <w:r>
        <w:t xml:space="preserve">5.1 医疗辐射能力(近3年）</w:t>
      </w:r>
    </w:p>
    <w:bookmarkStart w:id="49" w:name="本专科年出院患者中省外国外患者比例"/>
    <w:p>
      <w:pPr>
        <w:pStyle w:val="5"/>
      </w:pPr>
      <w:r>
        <w:t xml:space="preserve">5.1.1 本专科年出院患者中省外(国外)患者比例</w:t>
      </w:r>
    </w:p>
    <w:bookmarkEnd w:id="49"/>
    <w:bookmarkStart w:id="50" w:name="本专科年接受下级医院急危重症和疑难病患者转诊数量"/>
    <w:p>
      <w:pPr>
        <w:pStyle w:val="5"/>
      </w:pPr>
      <w:r>
        <w:t xml:space="preserve">5.1.2 本专科年接受下级医院急危重症和疑难病患者转诊数量</w:t>
      </w:r>
    </w:p>
    <w:bookmarkEnd w:id="50"/>
    <w:bookmarkEnd w:id="51"/>
    <w:bookmarkStart w:id="53" w:name="声誉和影响力近5年"/>
    <w:p>
      <w:pPr>
        <w:pStyle w:val="4"/>
      </w:pPr>
      <w:r>
        <w:t xml:space="preserve">5.2 声誉和影响力(近5年)</w:t>
      </w:r>
    </w:p>
    <w:bookmarkStart w:id="52" w:name="本专科带头人是否为国家省级质控中心专家委员会成员等情况"/>
    <w:p>
      <w:pPr>
        <w:pStyle w:val="5"/>
      </w:pPr>
      <w:r>
        <w:t xml:space="preserve">5.2.1 本专科带头人是否为国家、省级质控中心专家委员会成员等情况</w:t>
      </w:r>
    </w:p>
    <w:bookmarkEnd w:id="52"/>
    <w:bookmarkEnd w:id="53"/>
    <w:bookmarkEnd w:id="54"/>
    <w:bookmarkStart w:id="58" w:name="参考资料"/>
    <w:p>
      <w:pPr>
        <w:pStyle w:val="2"/>
      </w:pPr>
      <w:r>
        <w:t xml:space="preserve">6. 参考资料</w:t>
      </w:r>
    </w:p>
    <w:p>
      <w:pPr>
        <w:numPr>
          <w:ilvl w:val="0"/>
          <w:numId w:val="1002"/>
        </w:numPr>
        <w:pStyle w:val="24"/>
      </w:pPr>
      <w:r>
        <w:t xml:space="preserve">申报书</w:t>
      </w:r>
    </w:p>
    <w:p>
      <w:pPr>
        <w:pStyle w:val="13"/>
      </w:pPr>
      <w:r>
        <w:t xml:space="preserve">9月16日定稿【金山文档】 ★重症医学科-广东省临床重点专科建设项目申报书</w:t>
      </w:r>
      <w:r>
        <w:br/>
      </w:r>
      <w:hyperlink r:id="rId55">
        <w:r>
          <w:rPr>
            <w:rStyle w:val="20"/>
          </w:rPr>
          <w:t xml:space="preserve">https://kdocs.cn/l/ch7p7g6z6lwz</w:t>
        </w:r>
      </w:hyperlink>
    </w:p>
    <w:p>
      <w:pPr>
        <w:pStyle w:val="13"/>
      </w:pPr>
      <w:r>
        <w:t xml:space="preserve">合并为一个学科带头人版本【金山文档】 ★重症医学科-广东省临床重点专科建设项目申报书-2022-9-17</w:t>
      </w:r>
      <w:r>
        <w:t xml:space="preserve"> </w:t>
      </w:r>
      <w:hyperlink r:id="rId56">
        <w:r>
          <w:rPr>
            <w:rStyle w:val="20"/>
          </w:rPr>
          <w:t xml:space="preserve">https://kdocs.cn/l/cuZyHsD9cKiL</w:t>
        </w:r>
      </w:hyperlink>
    </w:p>
    <w:p>
      <w:pPr>
        <w:numPr>
          <w:ilvl w:val="0"/>
          <w:numId w:val="1003"/>
        </w:numPr>
        <w:pStyle w:val="24"/>
      </w:pPr>
      <w:r>
        <w:t xml:space="preserve">指标体系</w:t>
      </w:r>
    </w:p>
    <w:p>
      <w:pPr>
        <w:pStyle w:val="13"/>
      </w:pPr>
      <w:r>
        <w:t xml:space="preserve">【金山文档】 广东省卫生健康委办公室关于组织申报2024年国家临床重点专科建设项目的通知</w:t>
      </w:r>
      <w:r>
        <w:t xml:space="preserve"> </w:t>
      </w:r>
      <w:hyperlink r:id="rId57">
        <w:r>
          <w:rPr>
            <w:rStyle w:val="20"/>
          </w:rPr>
          <w:t xml:space="preserve">https://kdocs.cn/l/cl0t57kMgESl</w:t>
        </w:r>
      </w:hyperlink>
    </w:p>
    <w:bookmarkEnd w:id="58"/>
    <w:sectPr>
      <w:cols w:num="1"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Times New Roman Bold">
    <w:altName w:val="Times New Roman"/>
    <w:panose1 w:val="02020603050405020304"/>
    <w:charset w:val="00"/>
    <w:family w:val="auto"/>
    <w:pitch w:val="default"/>
    <w:sig w:usb0="00000000" w:usb1="00000000" w:usb2="00000000" w:usb3="00000000" w:csb0="00000000" w:csb1="00000000"/>
  </w:font>
  <w:font w:name="Times New Roman Italic">
    <w:altName w:val="Times New Roman"/>
    <w:panose1 w:val="02020603050405020304"/>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proofState w:grammar="clean" w:spelling="clean"/>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decimalSymbol w:val="."/>
  <w:listSeparator w:val=","/>
  <w:zoom w:percent="159"/>
  <w:embedSystemFonts/>
  <w:doNotTrackMoves/>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m:mathPr>
    <m:mathFont m:val="Cambria Math"/>
    <m:brkBin m:val="before"/>
    <m:brkBinSub m:val="--"/>
    <m:smallFrac m:val="0"/>
    <m:dispDef/>
    <m:lMargin m:val="0"/>
    <m:rMargin m:val="0"/>
    <m:defJc m:val="centerGroup"/>
    <m:wrapRight m:val="1"/>
    <m:intLim m:val="subSup"/>
    <m:naryLim m:val="undOvr"/>
  </m:mathPr>
  <w:themeFontLang w:eastAsia="zh-CN" w:val="en-US"/>
</w:settings>
</file>

<file path=word/styles.xml><?xml version="1.0" encoding="utf-8"?>
<w:style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psCustomData="http://www.wps.cn/officeDocument/2013/wpsCustomData" mc:Ignorable="w14">
  <w:docDefaults>
    <w:rPrDefault>
      <w:rPr>
        <w:rFonts w:asciiTheme="minorHAnsi" w:cstheme="minorBidi" w:eastAsiaTheme="minorHAnsi" w:hAnsiTheme="minorHAnsi"/>
      </w:rPr>
    </w:rPrDefault>
    <w:pPrDefault/>
  </w:docDefaults>
  <w:latentStyles w:count="260"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9"/>
    <w:lsdException w:name="heading 4" w:qFormat="1" w:semiHidden="0" w:uiPriority="9"/>
    <w:lsdException w:name="heading 5" w:qFormat="1" w:semiHidden="0" w:uiPriority="9"/>
    <w:lsdException w:name="heading 6" w:qFormat="1" w:semiHidden="0" w:uiPriority="9"/>
    <w:lsdException w:name="heading 7" w:qFormat="1" w:semiHidden="0" w:uiPriority="9"/>
    <w:lsdException w:name="heading 8" w:qFormat="1" w:semiHidden="0" w:uiPriority="9"/>
    <w:lsdException w:name="heading 9" w:qFormat="1" w:semiHidden="0" w:uiPriority="9"/>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qFormat="1" w:semiHidden="0" w:uiPriority="9"/>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qFormat="1"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qFormat="1"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qFormat="1" w:semiHidden="0" w:uiPriority="0" w:unhideWhenUsed="0"/>
    <w:lsdException w:name="Closing" w:semiHidden="0" w:uiPriority="0" w:unhideWhenUsed="0"/>
    <w:lsdException w:name="Signature" w:semiHidden="0" w:uiPriority="0" w:unhideWhenUsed="0"/>
    <w:lsdException w:name="Default Paragraph Font" w:qFormat="1" w:uiPriority="0"/>
    <w:lsdException w:name="Body Text" w:qFormat="1"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qFormat="1" w:semiHidden="0" w:uiPriority="0" w:unhideWhenUsed="0"/>
    <w:lsdException w:name="Salutation" w:semiHidden="0" w:uiPriority="0" w:unhideWhenUsed="0"/>
    <w:lsdException w:name="Date" w:qFormat="1"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qFormat="1" w:semiHidden="0" w:uiPriority="9"/>
    <w:lsdException w:name="Hyperlink" w:qFormat="1"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semiHidden="0"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1" w:type="paragraph">
    <w:name w:val="Normal"/>
    <w:qFormat/>
    <w:uiPriority w:val="0"/>
    <w:pPr>
      <w:spacing w:after="200"/>
    </w:pPr>
    <w:rPr>
      <w:rFonts w:asciiTheme="minorHAnsi" w:cstheme="minorBidi" w:eastAsiaTheme="minorHAnsi" w:hAnsiTheme="minorHAnsi"/>
      <w:sz w:val="24"/>
      <w:szCs w:val="24"/>
      <w:lang w:bidi="ar-SA" w:eastAsia="en-US" w:val="en-US"/>
    </w:rPr>
  </w:style>
  <w:style w:styleId="2" w:type="paragraph">
    <w:name w:val="heading 1"/>
    <w:basedOn w:val="1"/>
    <w:next w:val="3"/>
    <w:qFormat/>
    <w:uiPriority w:val="9"/>
    <w:pPr>
      <w:keepNext/>
      <w:keepLines/>
      <w:spacing w:after="0" w:before="480"/>
      <w:outlineLvl w:val="0"/>
    </w:pPr>
    <w:rPr>
      <w:rFonts w:ascii="Times New Roman Bold" w:cstheme="majorBidi" w:eastAsiaTheme="majorEastAsia" w:hAnsi="Times New Roman Bold"/>
      <w:b/>
      <w:bCs/>
      <w:color w:themeColor="text1" w:val="000000"/>
      <w:sz w:val="32"/>
      <w:szCs w:val="32"/>
    </w:rPr>
  </w:style>
  <w:style w:styleId="4" w:type="paragraph">
    <w:name w:val="heading 2"/>
    <w:basedOn w:val="1"/>
    <w:next w:val="3"/>
    <w:unhideWhenUsed/>
    <w:qFormat/>
    <w:uiPriority w:val="9"/>
    <w:pPr>
      <w:keepNext/>
      <w:keepLines/>
      <w:spacing w:after="0" w:before="200"/>
      <w:outlineLvl w:val="1"/>
    </w:pPr>
    <w:rPr>
      <w:rFonts w:ascii="Times New Roman Bold" w:cstheme="majorBidi" w:eastAsiaTheme="majorEastAsia" w:hAnsi="Times New Roman Bold"/>
      <w:b/>
      <w:bCs/>
      <w:color w:themeColor="text1" w:val="000000"/>
      <w:sz w:val="28"/>
      <w:szCs w:val="28"/>
    </w:rPr>
  </w:style>
  <w:style w:styleId="5" w:type="paragraph">
    <w:name w:val="heading 3"/>
    <w:basedOn w:val="1"/>
    <w:next w:val="3"/>
    <w:unhideWhenUsed/>
    <w:qFormat/>
    <w:uiPriority w:val="9"/>
    <w:pPr>
      <w:keepNext/>
      <w:keepLines/>
      <w:spacing w:after="0" w:before="200"/>
      <w:outlineLvl w:val="2"/>
    </w:pPr>
    <w:rPr>
      <w:rFonts w:ascii="Times New Roman Bold" w:cstheme="majorBidi" w:eastAsiaTheme="majorEastAsia" w:hAnsi="Times New Roman Bold"/>
      <w:b/>
      <w:bCs/>
      <w:color w:themeColor="text1" w:val="000000"/>
    </w:rPr>
  </w:style>
  <w:style w:styleId="6" w:type="paragraph">
    <w:name w:val="heading 4"/>
    <w:basedOn w:val="1"/>
    <w:next w:val="3"/>
    <w:unhideWhenUsed/>
    <w:qFormat/>
    <w:uiPriority w:val="9"/>
    <w:pPr>
      <w:keepNext/>
      <w:keepLines/>
      <w:spacing w:after="0" w:before="200"/>
      <w:outlineLvl w:val="3"/>
    </w:pPr>
    <w:rPr>
      <w:rFonts w:ascii="Times New Roman Italic" w:cstheme="majorBidi" w:eastAsiaTheme="majorEastAsia" w:hAnsi="Times New Roman Italic"/>
      <w:bCs/>
      <w:i/>
      <w:color w:themeColor="text1" w:val="000000"/>
    </w:rPr>
  </w:style>
  <w:style w:styleId="7" w:type="paragraph">
    <w:name w:val="heading 5"/>
    <w:basedOn w:val="1"/>
    <w:next w:val="3"/>
    <w:unhideWhenUsed/>
    <w:qFormat/>
    <w:uiPriority w:val="9"/>
    <w:pPr>
      <w:keepNext/>
      <w:keepLines/>
      <w:spacing w:after="0" w:before="200"/>
      <w:outlineLvl w:val="4"/>
    </w:pPr>
    <w:rPr>
      <w:rFonts w:ascii="Times New Roman" w:cstheme="majorBidi" w:eastAsiaTheme="majorEastAsia" w:hAnsi="Times New Roman"/>
      <w:iCs/>
      <w:color w:themeColor="text1" w:val="000000"/>
    </w:rPr>
  </w:style>
  <w:style w:styleId="8" w:type="paragraph">
    <w:name w:val="heading 6"/>
    <w:basedOn w:val="1"/>
    <w:next w:val="3"/>
    <w:unhideWhenUsed/>
    <w:qFormat/>
    <w:uiPriority w:val="9"/>
    <w:pPr>
      <w:keepNext/>
      <w:keepLines/>
      <w:spacing w:after="0" w:before="200"/>
      <w:outlineLvl w:val="5"/>
    </w:pPr>
    <w:rPr>
      <w:rFonts w:asciiTheme="majorAscii" w:cstheme="majorBidi" w:eastAsiaTheme="majorEastAsia" w:hAnsiTheme="majorAscii"/>
      <w:color w:themeColor="text1" w:val="000000"/>
    </w:rPr>
  </w:style>
  <w:style w:styleId="9" w:type="paragraph">
    <w:name w:val="heading 7"/>
    <w:basedOn w:val="1"/>
    <w:next w:val="3"/>
    <w:unhideWhenUsed/>
    <w:qFormat/>
    <w:uiPriority w:val="9"/>
    <w:pPr>
      <w:keepNext/>
      <w:keepLines/>
      <w:spacing w:after="0" w:before="200"/>
      <w:outlineLvl w:val="6"/>
    </w:pPr>
    <w:rPr>
      <w:rFonts w:asciiTheme="majorAscii" w:cstheme="majorBidi" w:eastAsiaTheme="majorEastAsia" w:hAnsiTheme="majorAscii"/>
      <w:color w:themeColor="text1" w:val="000000"/>
    </w:rPr>
  </w:style>
  <w:style w:styleId="10" w:type="paragraph">
    <w:name w:val="heading 8"/>
    <w:basedOn w:val="1"/>
    <w:next w:val="3"/>
    <w:unhideWhenUsed/>
    <w:qFormat/>
    <w:uiPriority w:val="9"/>
    <w:pPr>
      <w:keepNext/>
      <w:keepLines/>
      <w:spacing w:after="0" w:before="200"/>
      <w:outlineLvl w:val="7"/>
    </w:pPr>
    <w:rPr>
      <w:rFonts w:asciiTheme="majorAscii" w:cstheme="majorBidi" w:eastAsiaTheme="majorEastAsia" w:hAnsiTheme="majorAscii"/>
      <w:color w:themeColor="text1" w:val="000000"/>
    </w:rPr>
  </w:style>
  <w:style w:styleId="11" w:type="paragraph">
    <w:name w:val="heading 9"/>
    <w:basedOn w:val="1"/>
    <w:next w:val="3"/>
    <w:unhideWhenUsed/>
    <w:qFormat/>
    <w:uiPriority w:val="9"/>
    <w:pPr>
      <w:keepNext/>
      <w:keepLines/>
      <w:spacing w:after="0" w:before="200"/>
      <w:outlineLvl w:val="8"/>
    </w:pPr>
    <w:rPr>
      <w:rFonts w:asciiTheme="majorAscii" w:cstheme="majorBidi" w:eastAsiaTheme="majorEastAsia" w:hAnsiTheme="majorAscii"/>
      <w:color w:themeColor="text1" w:val="000000"/>
    </w:rPr>
  </w:style>
  <w:style w:default="1" w:styleId="19" w:type="character">
    <w:name w:val="Default Paragraph Font"/>
    <w:semiHidden/>
    <w:unhideWhenUsed/>
    <w:qFormat/>
    <w:uiPriority w:val="0"/>
  </w:style>
  <w:style w:default="1" w:styleId="18" w:type="table">
    <w:name w:val="Normal Table"/>
    <w:qFormat/>
    <w:uiPriority w:val="0"/>
    <w:tblPr>
      <w:tblCellMar>
        <w:top w:type="dxa" w:w="0"/>
        <w:left w:type="dxa" w:w="108"/>
        <w:bottom w:type="dxa" w:w="0"/>
        <w:right w:type="dxa" w:w="108"/>
      </w:tblCellMar>
    </w:tblPr>
  </w:style>
  <w:style w:styleId="3" w:type="paragraph">
    <w:name w:val="Body Text"/>
    <w:basedOn w:val="1"/>
    <w:link w:val="21"/>
    <w:qFormat/>
    <w:uiPriority w:val="0"/>
    <w:pPr>
      <w:spacing w:after="180" w:before="180" w:line="360" w:lineRule="auto"/>
    </w:pPr>
    <w:rPr>
      <w:rFonts w:ascii="Times New Roman" w:eastAsiaTheme="minorEastAsia" w:hAnsi="Times New Roman"/>
    </w:rPr>
  </w:style>
  <w:style w:styleId="12" w:type="paragraph">
    <w:name w:val="caption"/>
    <w:basedOn w:val="1"/>
    <w:next w:val="1"/>
    <w:qFormat/>
    <w:uiPriority w:val="0"/>
    <w:pPr>
      <w:spacing w:after="120" w:before="0"/>
    </w:pPr>
    <w:rPr>
      <w:i/>
    </w:rPr>
  </w:style>
  <w:style w:styleId="13" w:type="paragraph">
    <w:name w:val="Block Text"/>
    <w:basedOn w:val="3"/>
    <w:next w:val="3"/>
    <w:unhideWhenUsed/>
    <w:qFormat/>
    <w:uiPriority w:val="9"/>
    <w:pPr>
      <w:spacing w:after="100" w:before="100"/>
      <w:ind w:firstLine="0" w:left="480" w:right="480"/>
    </w:pPr>
  </w:style>
  <w:style w:styleId="14" w:type="paragraph">
    <w:name w:val="Date"/>
    <w:next w:val="3"/>
    <w:qFormat/>
    <w:uiPriority w:val="0"/>
    <w:pPr>
      <w:keepNext/>
      <w:keepLines/>
      <w:spacing w:after="200"/>
      <w:jc w:val="center"/>
    </w:pPr>
    <w:rPr>
      <w:rFonts w:asciiTheme="minorHAnsi" w:cstheme="minorBidi" w:eastAsiaTheme="minorHAnsi" w:hAnsiTheme="minorHAnsi"/>
      <w:sz w:val="24"/>
      <w:szCs w:val="24"/>
      <w:lang w:bidi="ar-SA" w:eastAsia="en-US" w:val="en-US"/>
    </w:rPr>
  </w:style>
  <w:style w:styleId="15" w:type="paragraph">
    <w:name w:val="Subtitle"/>
    <w:basedOn w:val="16"/>
    <w:next w:val="3"/>
    <w:qFormat/>
    <w:uiPriority w:val="0"/>
    <w:pPr>
      <w:keepNext/>
      <w:keepLines/>
      <w:spacing w:after="240" w:before="240"/>
      <w:jc w:val="center"/>
    </w:pPr>
    <w:rPr>
      <w:sz w:val="30"/>
      <w:szCs w:val="30"/>
    </w:rPr>
  </w:style>
  <w:style w:styleId="16" w:type="paragraph">
    <w:name w:val="Title"/>
    <w:basedOn w:val="1"/>
    <w:next w:val="3"/>
    <w:qFormat/>
    <w:uiPriority w:val="0"/>
    <w:pPr>
      <w:keepNext/>
      <w:keepLines/>
      <w:spacing w:after="240" w:before="480"/>
      <w:jc w:val="center"/>
    </w:pPr>
    <w:rPr>
      <w:rFonts w:ascii="Times New Roman Bold" w:cstheme="majorBidi" w:eastAsiaTheme="majorEastAsia" w:hAnsi="Times New Roman Bold"/>
      <w:b/>
      <w:bCs/>
      <w:color w:themeColor="text1" w:val="000000"/>
      <w:sz w:val="36"/>
      <w:szCs w:val="24"/>
    </w:rPr>
  </w:style>
  <w:style w:styleId="17" w:type="paragraph">
    <w:name w:val="footnote text"/>
    <w:basedOn w:val="1"/>
    <w:unhideWhenUsed/>
    <w:qFormat/>
    <w:uiPriority w:val="9"/>
  </w:style>
  <w:style w:styleId="20" w:type="character">
    <w:name w:val="Hyperlink"/>
    <w:basedOn w:val="21"/>
    <w:qFormat/>
    <w:uiPriority w:val="0"/>
    <w:rPr>
      <w:color w:themeColor="accent1" w:val="4F81BD"/>
    </w:rPr>
  </w:style>
  <w:style w:customStyle="1" w:styleId="21" w:type="character">
    <w:name w:val="Body Text Char"/>
    <w:basedOn w:val="19"/>
    <w:link w:val="3"/>
    <w:qFormat/>
    <w:uiPriority w:val="0"/>
    <w:rPr>
      <w:rFonts w:ascii="Times New Roman" w:eastAsiaTheme="minorEastAsia" w:hAnsi="Times New Roman"/>
    </w:rPr>
  </w:style>
  <w:style w:styleId="22" w:type="character">
    <w:name w:val="footnote reference"/>
    <w:basedOn w:val="21"/>
    <w:qFormat/>
    <w:uiPriority w:val="0"/>
    <w:rPr>
      <w:vertAlign w:val="superscript"/>
    </w:rPr>
  </w:style>
  <w:style w:customStyle="1" w:styleId="23" w:type="paragraph">
    <w:name w:val="First Paragraph"/>
    <w:basedOn w:val="3"/>
    <w:next w:val="3"/>
    <w:qFormat/>
    <w:uiPriority w:val="0"/>
    <w:pPr>
      <w:jc w:val="both"/>
    </w:pPr>
    <w:rPr>
      <w:rFonts w:eastAsia="+中文正文"/>
    </w:rPr>
  </w:style>
  <w:style w:customStyle="1" w:styleId="24" w:type="paragraph">
    <w:name w:val="Compact"/>
    <w:basedOn w:val="3"/>
    <w:qFormat/>
    <w:uiPriority w:val="0"/>
    <w:pPr>
      <w:spacing w:after="36" w:before="36"/>
    </w:pPr>
  </w:style>
  <w:style w:customStyle="1" w:styleId="25" w:type="paragraph">
    <w:name w:val="Author"/>
    <w:next w:val="3"/>
    <w:qFormat/>
    <w:uiPriority w:val="0"/>
    <w:pPr>
      <w:keepNext/>
      <w:keepLines/>
      <w:spacing w:after="200"/>
      <w:jc w:val="center"/>
    </w:pPr>
    <w:rPr>
      <w:rFonts w:asciiTheme="minorHAnsi" w:cstheme="minorBidi" w:eastAsiaTheme="minorHAnsi" w:hAnsiTheme="minorHAnsi"/>
      <w:sz w:val="24"/>
      <w:szCs w:val="24"/>
      <w:lang w:bidi="ar-SA" w:eastAsia="en-US" w:val="en-US"/>
    </w:rPr>
  </w:style>
  <w:style w:customStyle="1" w:styleId="26" w:type="paragraph">
    <w:name w:val="Abstract"/>
    <w:basedOn w:val="1"/>
    <w:next w:val="3"/>
    <w:qFormat/>
    <w:uiPriority w:val="0"/>
    <w:pPr>
      <w:keepNext/>
      <w:keepLines/>
      <w:spacing w:after="300" w:before="300"/>
    </w:pPr>
    <w:rPr>
      <w:sz w:val="20"/>
      <w:szCs w:val="20"/>
    </w:rPr>
  </w:style>
  <w:style w:customStyle="1" w:styleId="27" w:type="paragraph">
    <w:name w:val="Bibliography"/>
    <w:basedOn w:val="1"/>
    <w:qFormat/>
    <w:uiPriority w:val="0"/>
  </w:style>
  <w:style w:customStyle="1" w:styleId="28" w:type="table">
    <w:name w:val="Table"/>
    <w:semiHidden/>
    <w:unhideWhenUsed/>
    <w:qFormat/>
    <w:uiPriority w:val="0"/>
    <w:tblPr>
      <w:tblCellMar>
        <w:top w:type="dxa" w:w="0"/>
        <w:left w:type="dxa" w:w="108"/>
        <w:bottom w:type="dxa" w:w="0"/>
        <w:right w:type="dxa" w:w="108"/>
      </w:tblCellMar>
    </w:tblPr>
    <w:tblStylePr w:type="firstRow">
      <w:tcPr>
        <w:tcBorders>
          <w:bottom w:color="auto" w:space="0" w:sz="0" w:val="single"/>
        </w:tcBorders>
        <w:vAlign w:val="bottom"/>
      </w:tcPr>
    </w:tblStylePr>
  </w:style>
  <w:style w:customStyle="1" w:styleId="29" w:type="paragraph">
    <w:name w:val="Definition Term"/>
    <w:basedOn w:val="1"/>
    <w:next w:val="30"/>
    <w:qFormat/>
    <w:uiPriority w:val="0"/>
    <w:pPr>
      <w:keepNext/>
      <w:keepLines/>
      <w:spacing w:after="0"/>
    </w:pPr>
    <w:rPr>
      <w:b/>
    </w:rPr>
  </w:style>
  <w:style w:customStyle="1" w:styleId="30" w:type="paragraph">
    <w:name w:val="Definition"/>
    <w:basedOn w:val="1"/>
    <w:qFormat/>
    <w:uiPriority w:val="0"/>
  </w:style>
  <w:style w:customStyle="1" w:styleId="31" w:type="paragraph">
    <w:name w:val="Table Caption"/>
    <w:basedOn w:val="12"/>
    <w:qFormat/>
    <w:uiPriority w:val="0"/>
    <w:pPr>
      <w:keepNext/>
    </w:pPr>
    <w:rPr>
      <w:rFonts w:asciiTheme="minorAscii" w:eastAsiaTheme="minorEastAsia" w:hAnsiTheme="minorAscii"/>
      <w:i w:val="0"/>
    </w:rPr>
  </w:style>
  <w:style w:customStyle="1" w:styleId="32" w:type="paragraph">
    <w:name w:val="Image Caption"/>
    <w:basedOn w:val="12"/>
    <w:qFormat/>
    <w:uiPriority w:val="0"/>
    <w:rPr>
      <w:rFonts w:asciiTheme="minorAscii" w:eastAsiaTheme="minorEastAsia" w:hAnsiTheme="minorAscii"/>
      <w:i w:val="0"/>
    </w:rPr>
  </w:style>
  <w:style w:customStyle="1" w:styleId="33" w:type="paragraph">
    <w:name w:val="Figure"/>
    <w:basedOn w:val="1"/>
    <w:qFormat/>
    <w:uiPriority w:val="0"/>
  </w:style>
  <w:style w:customStyle="1" w:styleId="34" w:type="paragraph">
    <w:name w:val="Captioned Figure"/>
    <w:basedOn w:val="33"/>
    <w:qFormat/>
    <w:uiPriority w:val="0"/>
    <w:pPr>
      <w:keepNext/>
    </w:pPr>
  </w:style>
  <w:style w:customStyle="1" w:styleId="35" w:type="character">
    <w:name w:val="Verbatim Char"/>
    <w:basedOn w:val="21"/>
    <w:uiPriority w:val="0"/>
    <w:rPr>
      <w:rFonts w:ascii="Consolas" w:hAnsi="Consolas"/>
      <w:sz w:val="22"/>
    </w:rPr>
  </w:style>
  <w:style w:customStyle="1" w:styleId="36" w:type="character">
    <w:name w:val="Section Number"/>
    <w:basedOn w:val="21"/>
    <w:qFormat/>
    <w:uiPriority w:val="0"/>
  </w:style>
  <w:style w:customStyle="1" w:styleId="37" w:type="paragraph">
    <w:name w:val="TOC Heading"/>
    <w:basedOn w:val="2"/>
    <w:next w:val="3"/>
    <w:unhideWhenUsed/>
    <w:qFormat/>
    <w:uiPriority w:val="39"/>
    <w:pPr>
      <w:spacing w:before="240" w:line="259" w:lineRule="auto"/>
      <w:outlineLvl w:val="9"/>
    </w:pPr>
    <w:rPr>
      <w:rFonts w:asciiTheme="majorHAnsi" w:cstheme="majorBidi" w:eastAsiaTheme="majorEastAsia" w:hAnsiTheme="majorHAnsi"/>
      <w:b w:val="0"/>
      <w:bCs w:val="0"/>
      <w:color w:themeColor="accent1" w:themeShade="BF" w:val="3660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5" Target="https://kdocs.cn/l/ch7p7g6z6lwz" TargetMode="External" /><Relationship Type="http://schemas.openxmlformats.org/officeDocument/2006/relationships/hyperlink" Id="rId57" Target="https://kdocs.cn/l/cl0t57kMgESl" TargetMode="External" /><Relationship Type="http://schemas.openxmlformats.org/officeDocument/2006/relationships/hyperlink" Id="rId56" Target="https://kdocs.cn/l/cuZyHsD9cKiL" TargetMode="External" /><Relationship Type="http://schemas.openxmlformats.org/officeDocument/2006/relationships/hyperlink" Id="rId21" Target="https://wsjkw.gd.gov.cn/hdjl_zcjd/content/post_4040695.html" TargetMode="External" /><Relationship Type="http://schemas.openxmlformats.org/officeDocument/2006/relationships/hyperlink" Id="rId20" Target="https://wsjkw.gd.gov.cn/zwgk_zwwgk_glgk/content/post_4040645.html" TargetMode="External" /><Relationship Type="http://schemas.openxmlformats.org/officeDocument/2006/relationships/hyperlink" Id="rId22" Target="https://wsjkw.gd.gov.cn/zwyw_banner/content/post_4303537.html" TargetMode="External" /></Relationships>
</file>

<file path=word/_rels/footnotes.xml.rels><?xml version="1.0" encoding="UTF-8"?><Relationships xmlns="http://schemas.openxmlformats.org/package/2006/relationships"><Relationship Type="http://schemas.openxmlformats.org/officeDocument/2006/relationships/hyperlink" Id="rId55" Target="https://kdocs.cn/l/ch7p7g6z6lwz" TargetMode="External" /><Relationship Type="http://schemas.openxmlformats.org/officeDocument/2006/relationships/hyperlink" Id="rId57" Target="https://kdocs.cn/l/cl0t57kMgESl" TargetMode="External" /><Relationship Type="http://schemas.openxmlformats.org/officeDocument/2006/relationships/hyperlink" Id="rId56" Target="https://kdocs.cn/l/cuZyHsD9cKiL" TargetMode="External" /><Relationship Type="http://schemas.openxmlformats.org/officeDocument/2006/relationships/hyperlink" Id="rId21" Target="https://wsjkw.gd.gov.cn/hdjl_zcjd/content/post_4040695.html" TargetMode="External" /><Relationship Type="http://schemas.openxmlformats.org/officeDocument/2006/relationships/hyperlink" Id="rId20" Target="https://wsjkw.gd.gov.cn/zwgk_zwwgk_glgk/content/post_4040645.html" TargetMode="External" /><Relationship Type="http://schemas.openxmlformats.org/officeDocument/2006/relationships/hyperlink" Id="rId22" Target="https://wsjkw.gd.gov.cn/zwyw_banner/content/post_430353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19</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国家临床重点专科建设</dc:title>
  <dc:creator>重症医学科</dc:creator>
  <dc:description>计划，总结，历程，光荣</dc:description>
  <cp:keywords/>
  <dcterms:created xsi:type="dcterms:W3CDTF">2024-02-18T15:42:47Z</dcterms:created>
  <dcterms:modified xsi:type="dcterms:W3CDTF">2024-02-18T15:42:47Z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crossref">
    <vt:lpwstr/>
  </property>
  <property fmtid="{D5CDD505-2E9C-101B-9397-08002B2CF9AE}" pid="7" name="date">
    <vt:lpwstr>2024-01-17</vt:lpwstr>
  </property>
  <property fmtid="{D5CDD505-2E9C-101B-9397-08002B2CF9AE}" pid="8" name="execute">
    <vt:lpwstr/>
  </property>
  <property fmtid="{D5CDD505-2E9C-101B-9397-08002B2CF9AE}" pid="9" name="header-includes">
    <vt:lpwstr/>
  </property>
  <property fmtid="{D5CDD505-2E9C-101B-9397-08002B2CF9AE}" pid="10" name="image">
    <vt:lpwstr>https://bpic.588ku.com/element_pic/21/12/28/b2e2ca427fd52d4fa637dd0ed4a862b4.jpg</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number-depth">
    <vt:lpwstr>3</vt:lpwstr>
  </property>
  <property fmtid="{D5CDD505-2E9C-101B-9397-08002B2CF9AE}" pid="15" name="subtitle">
    <vt:lpwstr>指标体系评估</vt:lpwstr>
  </property>
  <property fmtid="{D5CDD505-2E9C-101B-9397-08002B2CF9AE}" pid="16" name="title-block-banner">
    <vt:lpwstr>True</vt:lpwstr>
  </property>
  <property fmtid="{D5CDD505-2E9C-101B-9397-08002B2CF9AE}" pid="17" name="toc-title">
    <vt:lpwstr>Table of contents</vt:lpwstr>
  </property>
</Properties>
</file>