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9.jpg" ContentType="image/jpeg"/>
  <Override PartName="/word/media/rId44.png" ContentType="image/png"/>
  <Override PartName="/word/media/rId48.png" ContentType="image/png"/>
  <Override PartName="/word/media/rId5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16"/>
      </w:pPr>
      <w:r>
        <w:t xml:space="preserve">公立医院绩效考核</w:t>
      </w:r>
    </w:p>
    <w:p>
      <w:pPr>
        <w:pStyle w:val="15"/>
      </w:pPr>
      <w:r>
        <w:t xml:space="preserve">方便查找</w:t>
      </w:r>
    </w:p>
    <w:p>
      <w:pPr>
        <w:pStyle w:val="25"/>
      </w:pPr>
      <w:r>
        <w:t xml:space="preserve">重症医学科三区</w:t>
      </w:r>
    </w:p>
    <w:p>
      <w:pPr>
        <w:pStyle w:val="14"/>
      </w:pPr>
      <w:r>
        <w:t xml:space="preserve">2024-02-18</w:t>
      </w:r>
    </w:p>
    <w:bookmarkStart w:id="39" w:name="帮扶"/>
    <w:p>
      <w:pPr>
        <w:pStyle w:val="2"/>
      </w:pPr>
      <w:r>
        <w:t xml:space="preserve">1. 帮扶</w:t>
      </w:r>
    </w:p>
    <w:p>
      <w:pPr>
        <w:pStyle w:val="13"/>
      </w:pPr>
      <w:r>
        <w:t xml:space="preserve">请于10月12日上午下班前交党办杨明鑫OA，并附上相关照片、记录等佐证材料）</w:t>
      </w:r>
    </w:p>
    <w:bookmarkStart w:id="26" w:name="相关文件"/>
    <w:p>
      <w:pPr>
        <w:pStyle w:val="4"/>
      </w:pPr>
      <w:r>
        <w:t xml:space="preserve">1.1 相关文件</w:t>
      </w:r>
    </w:p>
    <w:p>
      <w:pPr>
        <w:numPr>
          <w:ilvl w:val="0"/>
          <w:numId w:val="1001"/>
        </w:numPr>
      </w:pPr>
      <w:hyperlink r:id="rId20">
        <w:r>
          <w:rPr>
            <w:rStyle w:val="20"/>
          </w:rPr>
          <w:t xml:space="preserve">关于印发《上半年医院经济运营分析报告”第四象限”帮扶责任分工表》的通知</w:t>
        </w:r>
      </w:hyperlink>
      <w:r>
        <w:br/>
      </w:r>
    </w:p>
    <w:p>
      <w:pPr>
        <w:numPr>
          <w:ilvl w:val="0"/>
          <w:numId w:val="1001"/>
        </w:numPr>
      </w:pPr>
      <w:r>
        <w:t xml:space="preserve">【金山文档】</w:t>
      </w:r>
      <w:r>
        <w:t xml:space="preserve"> </w:t>
      </w:r>
      <w:r>
        <w:t xml:space="preserve">“</w:t>
      </w:r>
      <w:r>
        <w:t xml:space="preserve">第四象限</w:t>
      </w:r>
      <w:r>
        <w:t xml:space="preserve">”</w:t>
      </w:r>
      <w:r>
        <w:t xml:space="preserve">科室帮扶情况统计表（截至10月11日）</w:t>
      </w:r>
      <w:hyperlink r:id="rId21">
        <w:r>
          <w:rPr>
            <w:rStyle w:val="20"/>
          </w:rPr>
          <w:t xml:space="preserve">https://kdocs.cn/l/cs4QkphtX5Fb</w:t>
        </w:r>
      </w:hyperlink>
    </w:p>
    <w:p>
      <w:pPr>
        <w:numPr>
          <w:ilvl w:val="0"/>
          <w:numId w:val="1001"/>
        </w:numPr>
      </w:pPr>
      <w:r>
        <w:t xml:space="preserve">【金山文档】 2023年1-7月重症医学科三区运营分析报告</w:t>
      </w:r>
      <w:hyperlink r:id="rId22">
        <w:r>
          <w:rPr>
            <w:rStyle w:val="20"/>
          </w:rPr>
          <w:t xml:space="preserve">https://kdocs.cn/l/cd1iMG23mLzT</w:t>
        </w:r>
      </w:hyperlink>
    </w:p>
    <w:p>
      <w:pPr>
        <w:numPr>
          <w:ilvl w:val="0"/>
          <w:numId w:val="1001"/>
        </w:numPr>
      </w:pPr>
      <w:r>
        <w:t xml:space="preserve">【金山文档】 重症医学科三区-2023年上半年DRGs数据分析及改进措施</w:t>
      </w:r>
      <w:r>
        <w:t xml:space="preserve"> </w:t>
      </w:r>
      <w:hyperlink r:id="rId23">
        <w:r>
          <w:rPr>
            <w:rStyle w:val="20"/>
          </w:rPr>
          <w:t xml:space="preserve">https://kdocs.cn/l/coeKXluBLSpE</w:t>
        </w:r>
      </w:hyperlink>
    </w:p>
    <w:p>
      <w:pPr>
        <w:numPr>
          <w:ilvl w:val="0"/>
          <w:numId w:val="1001"/>
        </w:numPr>
      </w:pPr>
      <w:r>
        <w:t xml:space="preserve">【金山文档】 科室运营帮扶情况汇报</w:t>
      </w:r>
      <w:r>
        <w:t xml:space="preserve"> </w:t>
      </w:r>
      <w:hyperlink r:id="rId24">
        <w:r>
          <w:rPr>
            <w:rStyle w:val="20"/>
          </w:rPr>
          <w:t xml:space="preserve">https://kdocs.cn/l/ctqTAzf9RgK0</w:t>
        </w:r>
      </w:hyperlink>
    </w:p>
    <w:p>
      <w:pPr>
        <w:numPr>
          <w:ilvl w:val="0"/>
          <w:numId w:val="1001"/>
        </w:numPr>
      </w:pPr>
      <w:r>
        <w:t xml:space="preserve">【金山文档】 2023年前三季度国考不达标指标整改报告</w:t>
      </w:r>
      <w:r>
        <w:t xml:space="preserve"> </w:t>
      </w:r>
      <w:hyperlink r:id="rId25">
        <w:r>
          <w:rPr>
            <w:rStyle w:val="20"/>
          </w:rPr>
          <w:t xml:space="preserve">https://kdocs.cn/l/cfTREn247bTL</w:t>
        </w:r>
      </w:hyperlink>
    </w:p>
    <w:bookmarkEnd w:id="26"/>
    <w:bookmarkStart w:id="27" w:name="帮扶人"/>
    <w:p>
      <w:pPr>
        <w:pStyle w:val="4"/>
      </w:pPr>
      <w:r>
        <w:t xml:space="preserve">1.2 帮扶人</w:t>
      </w:r>
    </w:p>
    <w:p>
      <w:pPr>
        <w:pStyle w:val="13"/>
      </w:pPr>
      <w:r>
        <w:t xml:space="preserve">陈哲林副院长</w:t>
      </w:r>
    </w:p>
    <w:bookmarkEnd w:id="27"/>
    <w:bookmarkStart w:id="28" w:name="时间"/>
    <w:p>
      <w:pPr>
        <w:pStyle w:val="4"/>
      </w:pPr>
      <w:r>
        <w:t xml:space="preserve">1.3 时间</w:t>
      </w:r>
    </w:p>
    <w:p>
      <w:pPr>
        <w:pStyle w:val="13"/>
      </w:pPr>
      <w:r>
        <w:t xml:space="preserve">2023-09-06</w:t>
      </w:r>
    </w:p>
    <w:bookmarkEnd w:id="28"/>
    <w:bookmarkStart w:id="32" w:name="现场照片"/>
    <w:p>
      <w:pPr>
        <w:pStyle w:val="4"/>
      </w:pPr>
      <w:r>
        <w:t xml:space="preserve">1.4 现场照片</w:t>
      </w:r>
    </w:p>
    <w:p>
      <w:pPr>
        <w:pStyle w:val="34"/>
      </w:pPr>
      <w:r>
        <w:drawing>
          <wp:inline>
            <wp:extent cx="5486400" cy="3703898"/>
            <wp:effectExtent b="0" l="0" r="0" t="0"/>
            <wp:docPr descr="帮扶会议现场" title="" id="30" name="Picture"/>
            <a:graphic>
              <a:graphicData uri="http://schemas.openxmlformats.org/drawingml/2006/picture">
                <pic:pic>
                  <pic:nvPicPr>
                    <pic:cNvPr descr="data/%E5%B8%AE%E6%89%B6%E4%BC%9A%E8%AE%AE%E7%8E%B0%E5%9C%BA.jp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03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2"/>
      </w:pPr>
      <w:r>
        <w:t xml:space="preserve">帮扶会议现场</w:t>
      </w:r>
    </w:p>
    <w:bookmarkEnd w:id="32"/>
    <w:bookmarkStart w:id="33" w:name="帮扶措施"/>
    <w:p>
      <w:pPr>
        <w:pStyle w:val="4"/>
      </w:pPr>
      <w:r>
        <w:t xml:space="preserve">1.5 帮扶措施</w:t>
      </w:r>
    </w:p>
    <w:p>
      <w:pPr>
        <w:numPr>
          <w:ilvl w:val="0"/>
          <w:numId w:val="1002"/>
        </w:numPr>
        <w:pStyle w:val="24"/>
      </w:pPr>
      <w:r>
        <w:t xml:space="preserve">分析2023年1-7月重症医学科三区运营情况：包括业务收入情况、成本、结余、业务效率以及2023年1-7月DRGS病种分析。</w:t>
      </w:r>
    </w:p>
    <w:p>
      <w:pPr>
        <w:numPr>
          <w:ilvl w:val="0"/>
          <w:numId w:val="1002"/>
        </w:numPr>
        <w:pStyle w:val="24"/>
      </w:pPr>
      <w:r>
        <w:t xml:space="preserve">分析问题及提出改进措施，科室应着重提高医疗服务收入占比，控制成本，优化病种结构和加强病人来源管理。主要措施包括以下5个方面：</w:t>
      </w:r>
    </w:p>
    <w:p>
      <w:pPr>
        <w:numPr>
          <w:ilvl w:val="0"/>
          <w:numId w:val="1003"/>
        </w:numPr>
        <w:pStyle w:val="24"/>
      </w:pPr>
      <w:r>
        <w:t xml:space="preserve">收入：科室应继续提高医疗服务收入占比，严格控制药品收入，并优化检查化验收入。</w:t>
      </w:r>
    </w:p>
    <w:p>
      <w:pPr>
        <w:numPr>
          <w:ilvl w:val="0"/>
          <w:numId w:val="1003"/>
        </w:numPr>
        <w:pStyle w:val="24"/>
      </w:pPr>
      <w:r>
        <w:t xml:space="preserve">成本：科室应控制人员经费、药品费和固定资产折旧的增长，合理分配资源。</w:t>
      </w:r>
    </w:p>
    <w:p>
      <w:pPr>
        <w:numPr>
          <w:ilvl w:val="0"/>
          <w:numId w:val="1003"/>
        </w:numPr>
        <w:pStyle w:val="24"/>
      </w:pPr>
      <w:r>
        <w:t xml:space="preserve">结余：科室应注意成本控制，避免成本增长超过收入。</w:t>
      </w:r>
    </w:p>
    <w:p>
      <w:pPr>
        <w:numPr>
          <w:ilvl w:val="0"/>
          <w:numId w:val="1003"/>
        </w:numPr>
        <w:pStyle w:val="24"/>
      </w:pPr>
      <w:r>
        <w:t xml:space="preserve">病种：科室应分析病种结构，发展优势病种，优化诊疗流程，降低时间和费用指数的高病种。</w:t>
      </w:r>
    </w:p>
    <w:p>
      <w:pPr>
        <w:numPr>
          <w:ilvl w:val="0"/>
          <w:numId w:val="1003"/>
        </w:numPr>
        <w:pStyle w:val="24"/>
      </w:pPr>
      <w:r>
        <w:t xml:space="preserve">病人来源：加强院前急救管理，增加病人来源；加强医联体作用，提高重症转诊率。</w:t>
      </w:r>
    </w:p>
    <w:bookmarkEnd w:id="33"/>
    <w:bookmarkStart w:id="38" w:name="取得成效"/>
    <w:p>
      <w:pPr>
        <w:pStyle w:val="4"/>
      </w:pPr>
      <w:r>
        <w:t xml:space="preserve">1.6 取得成效</w:t>
      </w:r>
    </w:p>
    <w:bookmarkStart w:id="34" w:name="业务收入同比增长"/>
    <w:p>
      <w:pPr>
        <w:pStyle w:val="5"/>
      </w:pPr>
      <w:r>
        <w:t xml:space="preserve">1.6.1 业务收入同比增长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pStyle w:val="24"/>
              <w:jc w:val="left"/>
            </w:pPr>
            <w:r>
              <w:t xml:space="preserve">科室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2022年9月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2023年9月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增减额</w:t>
            </w:r>
          </w:p>
        </w:tc>
        <w:tc>
          <w:tcPr/>
          <w:p>
            <w:pPr>
              <w:pStyle w:val="24"/>
              <w:jc w:val="left"/>
            </w:pPr>
            <w:r>
              <w:t xml:space="preserve">增减率</w:t>
            </w:r>
          </w:p>
        </w:tc>
      </w:tr>
      <w:tr>
        <w:tc>
          <w:tcPr/>
          <w:p>
            <w:pPr>
              <w:pStyle w:val="24"/>
              <w:jc w:val="left"/>
            </w:pPr>
            <w:r>
              <w:t xml:space="preserve">重症医学科三区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192.21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209.3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17.09</w:t>
            </w:r>
          </w:p>
        </w:tc>
        <w:tc>
          <w:tcPr/>
          <w:p>
            <w:pPr>
              <w:pStyle w:val="24"/>
              <w:jc w:val="left"/>
            </w:pPr>
            <w:r>
              <w:t xml:space="preserve">8.89%</w:t>
            </w:r>
          </w:p>
        </w:tc>
      </w:tr>
    </w:tbl>
    <w:bookmarkEnd w:id="34"/>
    <w:bookmarkStart w:id="37" w:name="收入结构得到优化"/>
    <w:p>
      <w:pPr>
        <w:pStyle w:val="5"/>
      </w:pPr>
      <w:r>
        <w:t xml:space="preserve">1.6.2 收入结构得到优化</w:t>
      </w:r>
    </w:p>
    <w:bookmarkStart w:id="35" w:name="医疗服务收入增加"/>
    <w:p>
      <w:pPr>
        <w:pStyle w:val="6"/>
      </w:pPr>
      <w:r>
        <w:t xml:space="preserve">1.6.2.1 医疗服务收入增加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pStyle w:val="24"/>
            </w:pPr>
          </w:p>
        </w:tc>
        <w:tc>
          <w:tcPr/>
          <w:p>
            <w:pPr>
              <w:pStyle w:val="24"/>
              <w:jc w:val="left"/>
            </w:pPr>
            <w:r>
              <w:t xml:space="preserve">项目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2022年9月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2023年9月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增减额</w:t>
            </w:r>
          </w:p>
        </w:tc>
        <w:tc>
          <w:tcPr/>
          <w:p>
            <w:pPr>
              <w:pStyle w:val="24"/>
              <w:jc w:val="left"/>
            </w:pPr>
            <w:r>
              <w:t xml:space="preserve">增减率</w:t>
            </w:r>
          </w:p>
        </w:tc>
      </w:tr>
      <w:tr>
        <w:tc>
          <w:tcPr/>
          <w:p>
            <w:pPr>
              <w:pStyle w:val="24"/>
              <w:jc w:val="left"/>
            </w:pPr>
            <w:r>
              <w:t xml:space="preserve">41</w:t>
            </w:r>
          </w:p>
        </w:tc>
        <w:tc>
          <w:tcPr/>
          <w:p>
            <w:pPr>
              <w:pStyle w:val="24"/>
              <w:jc w:val="left"/>
            </w:pPr>
            <w:r>
              <w:t xml:space="preserve">医疗服务收入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897016.1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1056586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159569.8</w:t>
            </w:r>
          </w:p>
        </w:tc>
        <w:tc>
          <w:tcPr/>
          <w:p>
            <w:pPr>
              <w:pStyle w:val="24"/>
              <w:jc w:val="left"/>
            </w:pPr>
            <w:r>
              <w:t xml:space="preserve">17.8%</w:t>
            </w:r>
          </w:p>
        </w:tc>
      </w:tr>
    </w:tbl>
    <w:bookmarkEnd w:id="35"/>
    <w:bookmarkStart w:id="36" w:name="药费下降"/>
    <w:p>
      <w:pPr>
        <w:pStyle w:val="6"/>
      </w:pPr>
      <w:r>
        <w:t xml:space="preserve">1.6.2.2 药费下降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pStyle w:val="24"/>
            </w:pPr>
          </w:p>
        </w:tc>
        <w:tc>
          <w:tcPr/>
          <w:p>
            <w:pPr>
              <w:pStyle w:val="24"/>
              <w:jc w:val="left"/>
            </w:pPr>
            <w:r>
              <w:t xml:space="preserve">项目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2022年9月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2023年9月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增减额</w:t>
            </w:r>
          </w:p>
        </w:tc>
        <w:tc>
          <w:tcPr/>
          <w:p>
            <w:pPr>
              <w:pStyle w:val="24"/>
              <w:jc w:val="left"/>
            </w:pPr>
            <w:r>
              <w:t xml:space="preserve">增减率</w:t>
            </w:r>
          </w:p>
        </w:tc>
      </w:tr>
      <w:tr>
        <w:tc>
          <w:tcPr/>
          <w:p>
            <w:pPr>
              <w:pStyle w:val="24"/>
              <w:jc w:val="left"/>
            </w:pPr>
            <w:r>
              <w:t xml:space="preserve">45</w:t>
            </w:r>
          </w:p>
        </w:tc>
        <w:tc>
          <w:tcPr/>
          <w:p>
            <w:pPr>
              <w:pStyle w:val="24"/>
              <w:jc w:val="left"/>
            </w:pPr>
            <w:r>
              <w:t xml:space="preserve">药品收入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1311754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1228482</w:t>
            </w:r>
          </w:p>
        </w:tc>
        <w:tc>
          <w:tcPr/>
          <w:p>
            <w:pPr>
              <w:pStyle w:val="24"/>
              <w:jc w:val="right"/>
            </w:pPr>
            <w:r>
              <w:t xml:space="preserve">-83272.04</w:t>
            </w:r>
          </w:p>
        </w:tc>
        <w:tc>
          <w:tcPr/>
          <w:p>
            <w:pPr>
              <w:pStyle w:val="24"/>
              <w:jc w:val="left"/>
            </w:pPr>
            <w:r>
              <w:t xml:space="preserve">-6.3%</w:t>
            </w:r>
          </w:p>
        </w:tc>
      </w:tr>
    </w:tbl>
    <w:bookmarkEnd w:id="36"/>
    <w:bookmarkEnd w:id="37"/>
    <w:bookmarkEnd w:id="38"/>
    <w:bookmarkEnd w:id="39"/>
    <w:bookmarkStart w:id="73" w:name="年前三季度国考不达标指标整改报告"/>
    <w:p>
      <w:pPr>
        <w:pStyle w:val="2"/>
      </w:pPr>
      <w:r>
        <w:t xml:space="preserve">2. 2023年前三季度国考不达标指标整改报告</w:t>
      </w:r>
    </w:p>
    <w:bookmarkStart w:id="40" w:name="通知"/>
    <w:p>
      <w:pPr>
        <w:pStyle w:val="4"/>
      </w:pPr>
      <w:r>
        <w:t xml:space="preserve">2.1 通知</w:t>
      </w:r>
    </w:p>
    <w:p>
      <w:pPr>
        <w:pStyle w:val="13"/>
      </w:pPr>
      <w:r>
        <w:t xml:space="preserve">根据绩效考核工作要求，今年1-9月临床科室国考指标数据已OA发给各科科主任和绩效员，请针对1-9月不达标的指标写份整改报告，于11月8日（下周三）前完成整改报告，经科室主任审阅后发回绩效办李伟浩OA，谢谢。</w:t>
      </w:r>
    </w:p>
    <w:bookmarkEnd w:id="40"/>
    <w:bookmarkStart w:id="42" w:name="年1-9月绩效指标完成情况"/>
    <w:p>
      <w:pPr>
        <w:pStyle w:val="4"/>
      </w:pPr>
      <w:r>
        <w:t xml:space="preserve">2.2 2023年1-9月绩效指标完成情况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41" w:name="tbl-finishedStatus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表 1— 重症医学科2023年1-9月绩效指标完成情况</w:t>
            </w:r>
          </w:p>
          <w:tbl>
            <w:tblPr>
              <w:tblStyle w:val="Table"/>
              <w:tblW w:type="pct" w:w="5000"/>
              <w:tblLook w:firstRow="1" w:lastRow="0" w:firstColumn="0" w:lastColumn="0" w:noHBand="0" w:noVBand="0" w:val="0020"/>
              <w:jc w:val="start"/>
              <w:tblLayout w:type="fixed"/>
            </w:tblPr>
            <w:tblGrid>
              <w:gridCol w:w="2056"/>
              <w:gridCol w:w="990"/>
              <w:gridCol w:w="990"/>
              <w:gridCol w:w="1370"/>
              <w:gridCol w:w="1827"/>
              <w:gridCol w:w="685"/>
            </w:tblGrid>
            <w:tr>
              <w:trPr>
                <w:tblHeader w:val="true"/>
              </w:trP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指标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2022年完成值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2023年目标值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2023年1-9月完成值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2023年1-9月离目标值差距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是否达标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医疗服务收入占医疗收入比例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24.2%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28.2%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25.1%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3.1%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否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住院次均费用（元）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158124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150218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157312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-7094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否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需获科研经费（万元）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NA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30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19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10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否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万元收入能耗支出（元）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NA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12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59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-46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否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高值耗材占比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NA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10.8%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6.6%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4.2%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是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卫生材料占比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NA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13.7%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13.8%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-0.1%</w:t>
                  </w:r>
                </w:p>
              </w:tc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否</w:t>
                  </w:r>
                </w:p>
              </w:tc>
            </w:tr>
          </w:tbl>
          <w:bookmarkEnd w:id="41"/>
          <w:p/>
        </w:tc>
      </w:tr>
    </w:tbl>
    <w:bookmarkEnd w:id="42"/>
    <w:bookmarkStart w:id="72" w:name="原因分析及改进措施"/>
    <w:p>
      <w:pPr>
        <w:pStyle w:val="4"/>
      </w:pPr>
      <w:r>
        <w:t xml:space="preserve">2.3 原因分析及改进措施</w:t>
      </w:r>
    </w:p>
    <w:bookmarkStart w:id="53" w:name="医疗服务收入占医疗收入比例"/>
    <w:p>
      <w:pPr>
        <w:pStyle w:val="5"/>
      </w:pPr>
      <w:r>
        <w:t xml:space="preserve">2.3.1 医疗服务收入占医疗收入比例</w:t>
      </w:r>
    </w:p>
    <w:bookmarkStart w:id="43" w:name="不达标原因分析"/>
    <w:p>
      <w:pPr>
        <w:pStyle w:val="6"/>
      </w:pPr>
      <w:r>
        <w:t xml:space="preserve">2.3.1.1 不达标原因分析</w:t>
      </w:r>
    </w:p>
    <w:p>
      <w:pPr>
        <w:numPr>
          <w:ilvl w:val="0"/>
          <w:numId w:val="1004"/>
        </w:numPr>
        <w:pStyle w:val="24"/>
      </w:pPr>
      <w:r>
        <w:t xml:space="preserve">医保政策调整：医保政策调整导致医疗服务的价格下降，医保报销比例的调整、医保支付标准的变化等导致医疗服务的收入。</w:t>
      </w:r>
    </w:p>
    <w:p>
      <w:pPr>
        <w:numPr>
          <w:ilvl w:val="0"/>
          <w:numId w:val="1004"/>
        </w:numPr>
        <w:pStyle w:val="24"/>
      </w:pPr>
      <w:r>
        <w:t xml:space="preserve">耗材成本增加：新技术的应用和疫情需要涉及到新设备的购置成本和耗材使用增加。</w:t>
      </w:r>
    </w:p>
    <w:p>
      <w:pPr>
        <w:numPr>
          <w:ilvl w:val="0"/>
          <w:numId w:val="1004"/>
        </w:numPr>
        <w:pStyle w:val="24"/>
      </w:pPr>
      <w:r>
        <w:t xml:space="preserve">患者付费能力下降：经济形势影响能导致部分患者的付费能力下降，拒绝接受部分医疗服务，导致收入减少。</w:t>
      </w:r>
    </w:p>
    <w:bookmarkEnd w:id="43"/>
    <w:bookmarkStart w:id="52" w:name="改进措施及成效"/>
    <w:p>
      <w:pPr>
        <w:pStyle w:val="6"/>
      </w:pPr>
      <w:r>
        <w:t xml:space="preserve">2.3.1.2 改进措施及成效</w:t>
      </w:r>
    </w:p>
    <w:p>
      <w:pPr>
        <w:pStyle w:val="23"/>
      </w:pPr>
      <w:r>
        <w:t xml:space="preserve">科室通过提高服务质量、优化资源配置、拓展特色科室等方式来应对收入下降，取得了明显成效。 以9月份为例：</w:t>
      </w:r>
    </w:p>
    <w:p>
      <w:pPr>
        <w:numPr>
          <w:ilvl w:val="0"/>
          <w:numId w:val="1005"/>
        </w:numPr>
        <w:pStyle w:val="24"/>
      </w:pPr>
      <w:r>
        <w:t xml:space="preserve">医疗服务性收入的各个构成部分均同比增长。见</w:t>
      </w:r>
      <w:r>
        <w:t xml:space="preserve"> </w:t>
      </w:r>
      <w:hyperlink w:anchor="fig-1">
        <w:r>
          <w:rPr>
            <w:rStyle w:val="20"/>
          </w:rPr>
          <w:t xml:space="preserve">图 1</w:t>
        </w:r>
      </w:hyperlink>
      <w:r>
        <w:t xml:space="preserve">。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47" w:name="fig-1"/>
          <w:p>
            <w:pPr>
              <w:pStyle w:val="24"/>
              <w:jc w:val="center"/>
            </w:pPr>
            <w:r>
              <w:drawing>
                <wp:inline>
                  <wp:extent cx="4620126" cy="3696101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公立医院绩效考核_files/figure-docx/fig-1-1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26" cy="3696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图 1— 除床位收入等因医保收费政策调整下降以外，其余项目均为增长。</w:t>
            </w:r>
          </w:p>
          <w:bookmarkEnd w:id="47"/>
        </w:tc>
      </w:tr>
    </w:tbl>
    <w:p>
      <w:pPr>
        <w:numPr>
          <w:ilvl w:val="0"/>
          <w:numId w:val="1006"/>
        </w:numPr>
        <w:pStyle w:val="24"/>
      </w:pPr>
      <w:r>
        <w:t xml:space="preserve">收入结构持续优化，医疗服务收入占比逐步增长。见</w:t>
      </w:r>
      <w:r>
        <w:t xml:space="preserve"> </w:t>
      </w:r>
      <w:hyperlink w:anchor="fig-2">
        <w:r>
          <w:rPr>
            <w:rStyle w:val="20"/>
          </w:rPr>
          <w:t xml:space="preserve">图 2</w:t>
        </w:r>
      </w:hyperlink>
      <w:r>
        <w:t xml:space="preserve">。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51" w:name="fig-2"/>
          <w:p>
            <w:pPr>
              <w:pStyle w:val="24"/>
              <w:jc w:val="center"/>
            </w:pPr>
            <w:r>
              <w:drawing>
                <wp:inline>
                  <wp:extent cx="4620126" cy="3696101"/>
                  <wp:effectExtent b="0" l="0" r="0" t="0"/>
                  <wp:docPr descr="" title="" id="49" name="Picture"/>
                  <a:graphic>
                    <a:graphicData uri="http://schemas.openxmlformats.org/drawingml/2006/picture">
                      <pic:pic>
                        <pic:nvPicPr>
                          <pic:cNvPr descr="公立医院绩效考核_files/figure-docx/fig-2-1.png" id="5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26" cy="3696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图 2— 10月份的医疗服务占比为29.4%，保持该趋势年底有望完成目标。</w:t>
            </w:r>
          </w:p>
          <w:bookmarkEnd w:id="51"/>
        </w:tc>
      </w:tr>
    </w:tbl>
    <w:bookmarkEnd w:id="52"/>
    <w:bookmarkEnd w:id="53"/>
    <w:bookmarkStart w:id="62" w:name="次均住院费用"/>
    <w:p>
      <w:pPr>
        <w:pStyle w:val="5"/>
      </w:pPr>
      <w:r>
        <w:t xml:space="preserve">2.3.2 次均住院费用</w:t>
      </w:r>
    </w:p>
    <w:bookmarkStart w:id="54" w:name="不达标原因分析-1"/>
    <w:p>
      <w:pPr>
        <w:pStyle w:val="6"/>
      </w:pPr>
      <w:r>
        <w:t xml:space="preserve">2.3.2.1 不达标原因分析</w:t>
      </w:r>
    </w:p>
    <w:p>
      <w:pPr>
        <w:numPr>
          <w:ilvl w:val="0"/>
          <w:numId w:val="1007"/>
        </w:numPr>
        <w:pStyle w:val="24"/>
      </w:pPr>
      <w:r>
        <w:t xml:space="preserve">重症病情和治疗复杂性：住院患者，尤其是今年疫情期间患者患有较严重的疾病，需要更多的医疗资源和更复杂的治疗方案，住院时间更长，这会导致住院次均费用的增加。</w:t>
      </w:r>
    </w:p>
    <w:p>
      <w:pPr>
        <w:numPr>
          <w:ilvl w:val="0"/>
          <w:numId w:val="1007"/>
        </w:numPr>
        <w:pStyle w:val="24"/>
      </w:pPr>
      <w:r>
        <w:t xml:space="preserve">新技术治疗和设备使用：一些疾病需要应用新技术治疗或使用较贵的医疗设备和耗材，例如人工肝、PICCO等，这会提高住院治疗的成本。</w:t>
      </w:r>
    </w:p>
    <w:p>
      <w:pPr>
        <w:numPr>
          <w:ilvl w:val="0"/>
          <w:numId w:val="1007"/>
        </w:numPr>
        <w:pStyle w:val="24"/>
      </w:pPr>
      <w:r>
        <w:t xml:space="preserve">药费支出增加：疫情期间外院转入病人多，且病情重，抢救病人多，导致药物费用增加。特别是抢救药物的使用量大增，其中去甲肾上腺素、间羟胺和垂体后叶素等升压药物成为费用消耗排名靠前的药物。住院时间长，抗生素的使用量增加，导致泛耐药菌感染的发生率升高。多粘菌素等抗生素的使用量也随之增加，进一步推高了药物费用。</w:t>
      </w:r>
    </w:p>
    <w:p>
      <w:pPr>
        <w:numPr>
          <w:ilvl w:val="0"/>
          <w:numId w:val="1007"/>
        </w:numPr>
        <w:pStyle w:val="24"/>
      </w:pPr>
      <w:r>
        <w:t xml:space="preserve">耗材支出增加：疫情期间缓冲病房的耗材费用也计入了我室的费用统计，导致耗材支出占比上升。ICU患者需要频繁的病情监测，床旁检测所需的耗材增加，也对费用消耗造成了影响。</w:t>
      </w:r>
    </w:p>
    <w:p>
      <w:pPr>
        <w:numPr>
          <w:ilvl w:val="0"/>
          <w:numId w:val="1007"/>
        </w:numPr>
        <w:pStyle w:val="24"/>
      </w:pPr>
      <w:r>
        <w:rPr>
          <w:bCs/>
          <w:b/>
        </w:rPr>
        <w:t xml:space="preserve">分子包括了转科病人收入，分母没有包括转科病人数，导致次均住院费用增加</w:t>
      </w:r>
      <w:r>
        <w:t xml:space="preserve">，见</w:t>
      </w:r>
      <w:r>
        <w:t xml:space="preserve"> </w:t>
      </w:r>
      <w:hyperlink w:anchor="tbl-1">
        <w:r>
          <w:rPr>
            <w:rStyle w:val="20"/>
          </w:rPr>
          <w:t xml:space="preserve">表 2</w:t>
        </w:r>
      </w:hyperlink>
      <w:r>
        <w:t xml:space="preserve">。</w:t>
      </w:r>
    </w:p>
    <w:bookmarkEnd w:id="54"/>
    <w:bookmarkStart w:id="56" w:name="次均住院费用统计口径问题"/>
    <w:p>
      <w:pPr>
        <w:pStyle w:val="6"/>
      </w:pPr>
      <w:r>
        <w:t xml:space="preserve">2.3.2.2 次均住院费用统计口径问题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55" w:name="tbl-1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表 2— 不同统计口径对次均费用的影响。</w:t>
            </w:r>
          </w:p>
          <w:tbl>
            <w:tblPr>
              <w:tblStyle w:val="Table"/>
              <w:tblW w:type="pct" w:w="5000"/>
              <w:tblLook w:firstRow="1" w:lastRow="0" w:firstColumn="0" w:lastColumn="0" w:noHBand="0" w:noVBand="0" w:val="0020"/>
              <w:jc w:val="start"/>
              <w:tblLayout w:type="fixed"/>
            </w:tblPr>
            <w:tblGrid>
              <w:gridCol w:w="854"/>
              <w:gridCol w:w="621"/>
              <w:gridCol w:w="698"/>
              <w:gridCol w:w="698"/>
              <w:gridCol w:w="1164"/>
              <w:gridCol w:w="1708"/>
              <w:gridCol w:w="2174"/>
            </w:tblGrid>
            <w:tr>
              <w:trPr>
                <w:tblHeader w:val="true"/>
              </w:trP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月份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收入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出院人数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转科人数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转科和出院人数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次均费用-按出院人数计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次均费用-按出院和转科人数计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2023年01月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6372108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35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23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58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182060.2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109863.93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2023年02月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5712497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31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23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54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184274.1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105786.98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2023年03月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4357051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31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27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58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140550.0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75121.57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2023年04月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4103667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30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30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60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136788.9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68394.45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2023年05月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4112271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25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36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61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164490.8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67414.28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2023年06月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5176518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21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29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50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246500.9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103530.36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2023年07月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5390229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35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33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68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154006.5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79268.07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2023年08月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3762158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25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26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51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150486.3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73767.80</w:t>
                  </w:r>
                </w:p>
              </w:tc>
            </w:tr>
            <w:tr>
              <w:tc>
                <w:tcPr/>
                <w:p>
                  <w:pPr>
                    <w:pStyle w:val="24"/>
                    <w:jc w:val="left"/>
                    <w:jc w:val="center"/>
                  </w:pPr>
                  <w:r>
                    <w:t xml:space="preserve">2023年09月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4117178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29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36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65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141971.7</w:t>
                  </w:r>
                </w:p>
              </w:tc>
              <w:tc>
                <w:tcPr/>
                <w:p>
                  <w:pPr>
                    <w:pStyle w:val="24"/>
                    <w:jc w:val="right"/>
                    <w:jc w:val="center"/>
                  </w:pPr>
                  <w:r>
                    <w:t xml:space="preserve">63341.20</w:t>
                  </w:r>
                </w:p>
              </w:tc>
            </w:tr>
          </w:tbl>
          <w:bookmarkEnd w:id="55"/>
          <w:p/>
        </w:tc>
      </w:tr>
    </w:tbl>
    <w:bookmarkEnd w:id="56"/>
    <w:bookmarkStart w:id="61" w:name="改进措施及成效-1"/>
    <w:p>
      <w:pPr>
        <w:pStyle w:val="6"/>
      </w:pPr>
      <w:r>
        <w:t xml:space="preserve">2.3.2.3 改进措施及成效</w:t>
      </w:r>
    </w:p>
    <w:p>
      <w:pPr>
        <w:numPr>
          <w:ilvl w:val="0"/>
          <w:numId w:val="1008"/>
        </w:numPr>
        <w:pStyle w:val="24"/>
      </w:pPr>
      <w:r>
        <w:t xml:space="preserve">合理用药：建立药物使用评审制度，避免过度使用特殊药物，控制药物费用支出。</w:t>
      </w:r>
    </w:p>
    <w:p>
      <w:pPr>
        <w:numPr>
          <w:ilvl w:val="0"/>
          <w:numId w:val="1008"/>
        </w:numPr>
        <w:pStyle w:val="24"/>
      </w:pPr>
      <w:r>
        <w:t xml:space="preserve">加强感染控制：提高院内感染控制水平，降低患者感染率，减少抗生素使用。</w:t>
      </w:r>
    </w:p>
    <w:p>
      <w:pPr>
        <w:numPr>
          <w:ilvl w:val="0"/>
          <w:numId w:val="1008"/>
        </w:numPr>
        <w:pStyle w:val="24"/>
      </w:pPr>
      <w:r>
        <w:t xml:space="preserve">精细管理耗材：合理安排库存，推广高性价比的耗材，减少不必要的费用支出。</w:t>
      </w:r>
    </w:p>
    <w:p>
      <w:pPr>
        <w:numPr>
          <w:ilvl w:val="0"/>
          <w:numId w:val="1008"/>
        </w:numPr>
        <w:pStyle w:val="24"/>
      </w:pPr>
      <w:r>
        <w:t xml:space="preserve">提高监测技术操作水平：为护士和医护人员提供专业培训，确保准确监测患者生命体征，避免资源浪费。</w:t>
      </w:r>
    </w:p>
    <w:p>
      <w:pPr>
        <w:numPr>
          <w:ilvl w:val="0"/>
          <w:numId w:val="1008"/>
        </w:numPr>
        <w:pStyle w:val="24"/>
      </w:pPr>
      <w:r>
        <w:t xml:space="preserve">推行综合康复管理：加强ICU康复管理，促进患者早期康复，缩短住院时间，减少耗材使用。</w:t>
      </w:r>
    </w:p>
    <w:p>
      <w:pPr>
        <w:numPr>
          <w:ilvl w:val="0"/>
          <w:numId w:val="1008"/>
        </w:numPr>
        <w:pStyle w:val="24"/>
      </w:pPr>
      <w:r>
        <w:t xml:space="preserve">强化成本管理意识：提高医务人员成本管理意识，优化资源配置，减少不必要的浪费。</w:t>
      </w:r>
    </w:p>
    <w:p>
      <w:pPr>
        <w:numPr>
          <w:ilvl w:val="0"/>
          <w:numId w:val="1008"/>
        </w:numPr>
        <w:pStyle w:val="24"/>
      </w:pPr>
      <w:r>
        <w:t xml:space="preserve">运用Drgs系统分析病种结构，大力发展优势病种，优化诊疗流程，提高诊疗效率。</w:t>
      </w:r>
    </w:p>
    <w:p>
      <w:pPr>
        <w:pStyle w:val="23"/>
      </w:pPr>
      <w:r>
        <w:t xml:space="preserve">通过以上改进措施，2023年下半年前4月人均住院费用呈逐步下降趋势，见</w:t>
      </w:r>
      <w:r>
        <w:t xml:space="preserve"> </w:t>
      </w:r>
      <w:hyperlink w:anchor="fig-3">
        <w:r>
          <w:rPr>
            <w:rStyle w:val="20"/>
          </w:rPr>
          <w:t xml:space="preserve">图 3</w:t>
        </w:r>
      </w:hyperlink>
      <w:r>
        <w:t xml:space="preserve">。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60" w:name="fig-3"/>
          <w:p>
            <w:pPr>
              <w:pStyle w:val="24"/>
              <w:jc w:val="center"/>
            </w:pPr>
            <w:r>
              <w:drawing>
                <wp:inline>
                  <wp:extent cx="4620126" cy="3696101"/>
                  <wp:effectExtent b="0" l="0" r="0" t="0"/>
                  <wp:docPr descr="" title="" id="58" name="Picture"/>
                  <a:graphic>
                    <a:graphicData uri="http://schemas.openxmlformats.org/drawingml/2006/picture">
                      <pic:pic>
                        <pic:nvPicPr>
                          <pic:cNvPr descr="公立医院绩效考核_files/figure-docx/fig-3-1.png" id="5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26" cy="3696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图 3— 2023年第3季度次均住院费用逐步下降</w:t>
            </w:r>
          </w:p>
          <w:bookmarkEnd w:id="60"/>
        </w:tc>
      </w:tr>
    </w:tbl>
    <w:bookmarkEnd w:id="61"/>
    <w:bookmarkEnd w:id="62"/>
    <w:bookmarkStart w:id="65" w:name="需获科研经费"/>
    <w:p>
      <w:pPr>
        <w:pStyle w:val="5"/>
      </w:pPr>
      <w:r>
        <w:t xml:space="preserve">2.3.3 需获科研经费</w:t>
      </w:r>
    </w:p>
    <w:bookmarkStart w:id="63" w:name="不达标原因分析-2"/>
    <w:p>
      <w:pPr>
        <w:pStyle w:val="6"/>
      </w:pPr>
      <w:r>
        <w:t xml:space="preserve">2.3.3.1 不达标原因分析</w:t>
      </w:r>
    </w:p>
    <w:p>
      <w:pPr>
        <w:numPr>
          <w:ilvl w:val="0"/>
          <w:numId w:val="1009"/>
        </w:numPr>
        <w:pStyle w:val="24"/>
      </w:pPr>
      <w:r>
        <w:t xml:space="preserve">省级科研项目申报竞争激烈：在申请省自然和省科技项目时，通常要求申请人具有博士学位和丰富的基础研究经验，这导致全院能获得省级项目资助的机会较少。即便在省医学科研基金中获得2项资助，资助金额却有限（仅1万元）。</w:t>
      </w:r>
    </w:p>
    <w:p>
      <w:pPr>
        <w:numPr>
          <w:ilvl w:val="0"/>
          <w:numId w:val="1009"/>
        </w:numPr>
        <w:pStyle w:val="24"/>
      </w:pPr>
      <w:r>
        <w:t xml:space="preserve">需加强科研团队建设：重症医学临床医生承担着巨大的业务压力，因此用于科研的时间相对有限，这可能影响到申报课题的积极性。因此，需要提高医生们参与科研的积极性，并加强科研团队的建设。</w:t>
      </w:r>
    </w:p>
    <w:p>
      <w:pPr>
        <w:numPr>
          <w:ilvl w:val="0"/>
          <w:numId w:val="1009"/>
        </w:numPr>
        <w:pStyle w:val="24"/>
      </w:pPr>
      <w:r>
        <w:t xml:space="preserve">GCP项目进展顺利，但合同金额偏低：尽管GCP项目进展顺利，但签署的合同金额较少，这可能会对项目的持续开展和研究成果的产出造成一定影响。</w:t>
      </w:r>
    </w:p>
    <w:bookmarkEnd w:id="63"/>
    <w:bookmarkStart w:id="64" w:name="改进措施及成效-2"/>
    <w:p>
      <w:pPr>
        <w:pStyle w:val="6"/>
      </w:pPr>
      <w:r>
        <w:t xml:space="preserve">2.3.3.2 改进措施及成效</w:t>
      </w:r>
    </w:p>
    <w:p>
      <w:pPr>
        <w:pStyle w:val="23"/>
      </w:pPr>
      <w:r>
        <w:t xml:space="preserve">针对以上问题，我们做出了以下改进措施：</w:t>
      </w:r>
    </w:p>
    <w:p>
      <w:pPr>
        <w:numPr>
          <w:ilvl w:val="0"/>
          <w:numId w:val="1010"/>
        </w:numPr>
        <w:pStyle w:val="24"/>
      </w:pPr>
      <w:r>
        <w:t xml:space="preserve">提升申报竞争力：</w:t>
      </w:r>
    </w:p>
    <w:p>
      <w:pPr>
        <w:numPr>
          <w:ilvl w:val="1"/>
          <w:numId w:val="1011"/>
        </w:numPr>
        <w:pStyle w:val="24"/>
      </w:pPr>
      <w:r>
        <w:t xml:space="preserve">提供更多的科研培训和指导，帮助医生提升科研水平，增加申报省级科研项目的成功率。</w:t>
      </w:r>
    </w:p>
    <w:p>
      <w:pPr>
        <w:numPr>
          <w:ilvl w:val="1"/>
          <w:numId w:val="1011"/>
        </w:numPr>
        <w:pStyle w:val="24"/>
      </w:pPr>
      <w:r>
        <w:t xml:space="preserve">鼓励并支持医生参与科研团队，建立合作关系，提高团队整体的科研实力。</w:t>
      </w:r>
    </w:p>
    <w:p>
      <w:pPr>
        <w:numPr>
          <w:ilvl w:val="1"/>
          <w:numId w:val="1011"/>
        </w:numPr>
        <w:pStyle w:val="24"/>
      </w:pPr>
      <w:r>
        <w:t xml:space="preserve">提供更多的科研资源支持，如实验设备、文献检索工具等，提高科研条件。</w:t>
      </w:r>
    </w:p>
    <w:p>
      <w:pPr>
        <w:numPr>
          <w:ilvl w:val="0"/>
          <w:numId w:val="1010"/>
        </w:numPr>
        <w:pStyle w:val="24"/>
      </w:pPr>
      <w:r>
        <w:t xml:space="preserve">加强科研团队建设：</w:t>
      </w:r>
    </w:p>
    <w:p>
      <w:pPr>
        <w:numPr>
          <w:ilvl w:val="1"/>
          <w:numId w:val="1012"/>
        </w:numPr>
        <w:pStyle w:val="24"/>
      </w:pPr>
      <w:r>
        <w:t xml:space="preserve">通过各资金项目申报的机会，积极组织临床医生撰写申报书，锻炼队伍。</w:t>
      </w:r>
    </w:p>
    <w:p>
      <w:pPr>
        <w:numPr>
          <w:ilvl w:val="0"/>
          <w:numId w:val="1010"/>
        </w:numPr>
        <w:pStyle w:val="24"/>
      </w:pPr>
      <w:r>
        <w:t xml:space="preserve">提高GCP项目合同金额：</w:t>
      </w:r>
    </w:p>
    <w:p>
      <w:pPr>
        <w:numPr>
          <w:ilvl w:val="1"/>
          <w:numId w:val="1013"/>
        </w:numPr>
        <w:pStyle w:val="24"/>
      </w:pPr>
      <w:r>
        <w:t xml:space="preserve">出色完成申报方的入组任务，通过与合作方沟通，争取提高后期GCP项目的合同金额，确保项目能够顺利开展并取得更多的研究成果。</w:t>
      </w:r>
    </w:p>
    <w:p>
      <w:pPr>
        <w:numPr>
          <w:ilvl w:val="1"/>
          <w:numId w:val="1013"/>
        </w:numPr>
        <w:pStyle w:val="24"/>
      </w:pPr>
      <w:r>
        <w:t xml:space="preserve">开展器械临床试验，增加GCP合同金额。</w:t>
      </w:r>
    </w:p>
    <w:p>
      <w:pPr>
        <w:pStyle w:val="23"/>
      </w:pPr>
      <w:r>
        <w:t xml:space="preserve">改进措施的成效：</w:t>
      </w:r>
    </w:p>
    <w:p>
      <w:pPr>
        <w:numPr>
          <w:ilvl w:val="0"/>
          <w:numId w:val="1014"/>
        </w:numPr>
        <w:pStyle w:val="24"/>
      </w:pPr>
      <w:r>
        <w:t xml:space="preserve">增加了医生申报省级科研项目的成功率，取得了2项省医学科研基金，提升了科室的科研水平和影响力。</w:t>
      </w:r>
    </w:p>
    <w:p>
      <w:pPr>
        <w:numPr>
          <w:ilvl w:val="0"/>
          <w:numId w:val="1014"/>
        </w:numPr>
        <w:pStyle w:val="24"/>
      </w:pPr>
      <w:r>
        <w:t xml:space="preserve">科研团队的建设得到加强，团队整体科研水平提高，科研成果将得到进一步的提升。</w:t>
      </w:r>
    </w:p>
    <w:p>
      <w:pPr>
        <w:numPr>
          <w:ilvl w:val="0"/>
          <w:numId w:val="1014"/>
        </w:numPr>
        <w:pStyle w:val="24"/>
      </w:pPr>
      <w:r>
        <w:t xml:space="preserve">GCP项目获得更多的资金支持，已立项2项器械临床试验项目，合同正在拟定中。</w:t>
      </w:r>
    </w:p>
    <w:bookmarkEnd w:id="64"/>
    <w:bookmarkEnd w:id="65"/>
    <w:bookmarkStart w:id="68" w:name="万元收入能耗支出"/>
    <w:p>
      <w:pPr>
        <w:pStyle w:val="5"/>
      </w:pPr>
      <w:r>
        <w:t xml:space="preserve">2.3.4 万元收入能耗支出</w:t>
      </w:r>
    </w:p>
    <w:bookmarkStart w:id="66" w:name="不达标原因分析-3"/>
    <w:p>
      <w:pPr>
        <w:pStyle w:val="6"/>
      </w:pPr>
      <w:r>
        <w:t xml:space="preserve">2.3.4.1 不达标原因分析</w:t>
      </w:r>
    </w:p>
    <w:p>
      <w:pPr>
        <w:pStyle w:val="23"/>
      </w:pPr>
      <w:r>
        <w:t xml:space="preserve">我科万元能耗支出超标的原因分析包括以下几个方面：</w:t>
      </w:r>
    </w:p>
    <w:p>
      <w:pPr>
        <w:numPr>
          <w:ilvl w:val="0"/>
          <w:numId w:val="1015"/>
        </w:numPr>
        <w:pStyle w:val="24"/>
      </w:pPr>
      <w:r>
        <w:t xml:space="preserve">设备能耗：重症医学科需要使用一些高能耗的医疗设备，如呼吸机。</w:t>
      </w:r>
    </w:p>
    <w:p>
      <w:pPr>
        <w:numPr>
          <w:ilvl w:val="0"/>
          <w:numId w:val="1015"/>
        </w:numPr>
        <w:pStyle w:val="24"/>
      </w:pPr>
      <w:r>
        <w:t xml:space="preserve">制冷和空调能耗：重症医学科病房、药柜等通常需要保持严格的温度控制，制冷和空调设备的能耗较高。</w:t>
      </w:r>
    </w:p>
    <w:p>
      <w:pPr>
        <w:numPr>
          <w:ilvl w:val="0"/>
          <w:numId w:val="1015"/>
        </w:numPr>
        <w:pStyle w:val="24"/>
      </w:pPr>
      <w:r>
        <w:t xml:space="preserve">常规照明和电力消耗：除了医疗设备，重症医学科的常规照明、电力使用等也是能耗的重要组成部分。</w:t>
      </w:r>
    </w:p>
    <w:p>
      <w:pPr>
        <w:numPr>
          <w:ilvl w:val="0"/>
          <w:numId w:val="1015"/>
        </w:numPr>
        <w:pStyle w:val="24"/>
      </w:pPr>
      <w:r>
        <w:t xml:space="preserve">层流病房能耗大：我科病房为层流病房，设备老化，经常需要维修，用电量大，但床位费又不能按层流收费，导致万元能耗支出增加。</w:t>
      </w:r>
    </w:p>
    <w:p>
      <w:pPr>
        <w:numPr>
          <w:ilvl w:val="0"/>
          <w:numId w:val="1015"/>
        </w:numPr>
        <w:pStyle w:val="24"/>
      </w:pPr>
      <w:r>
        <w:t xml:space="preserve">节能意识有待加强：医务人员在使用医疗设备和资源时，可能缺乏节能意识，导致能源浪费现象。</w:t>
      </w:r>
    </w:p>
    <w:bookmarkEnd w:id="66"/>
    <w:bookmarkStart w:id="67" w:name="改进措施"/>
    <w:p>
      <w:pPr>
        <w:pStyle w:val="6"/>
      </w:pPr>
      <w:r>
        <w:t xml:space="preserve">2.3.4.2 改进措施</w:t>
      </w:r>
    </w:p>
    <w:p>
      <w:pPr>
        <w:pStyle w:val="23"/>
      </w:pPr>
      <w:r>
        <w:t xml:space="preserve">针对万元能耗支出超标的情况，提出以下改进措施：</w:t>
      </w:r>
    </w:p>
    <w:p>
      <w:pPr>
        <w:numPr>
          <w:ilvl w:val="0"/>
          <w:numId w:val="1016"/>
        </w:numPr>
        <w:pStyle w:val="24"/>
      </w:pPr>
      <w:r>
        <w:t xml:space="preserve">设备能效提升：</w:t>
      </w:r>
    </w:p>
    <w:p>
      <w:pPr>
        <w:numPr>
          <w:ilvl w:val="1"/>
          <w:numId w:val="1017"/>
        </w:numPr>
        <w:pStyle w:val="24"/>
      </w:pPr>
      <w:r>
        <w:t xml:space="preserve">定期对医疗设备进行维护和保养，确保设备处于最佳工作状态，提高设备的能效。</w:t>
      </w:r>
    </w:p>
    <w:p>
      <w:pPr>
        <w:numPr>
          <w:ilvl w:val="1"/>
          <w:numId w:val="1017"/>
        </w:numPr>
        <w:pStyle w:val="24"/>
      </w:pPr>
      <w:r>
        <w:t xml:space="preserve">考虑逐步更新老化设备，选择能效更高的新型医疗设备，降低能耗支出。</w:t>
      </w:r>
    </w:p>
    <w:p>
      <w:pPr>
        <w:numPr>
          <w:ilvl w:val="0"/>
          <w:numId w:val="1016"/>
        </w:numPr>
        <w:pStyle w:val="24"/>
      </w:pPr>
      <w:r>
        <w:t xml:space="preserve">节能意识培训：</w:t>
      </w:r>
    </w:p>
    <w:p>
      <w:pPr>
        <w:numPr>
          <w:ilvl w:val="1"/>
          <w:numId w:val="1018"/>
        </w:numPr>
        <w:pStyle w:val="24"/>
      </w:pPr>
      <w:r>
        <w:t xml:space="preserve">开展医务人员的节能意识培训，提高他们对于节能节电的认识，鼓励他们在工作中节约用能。</w:t>
      </w:r>
    </w:p>
    <w:p>
      <w:pPr>
        <w:numPr>
          <w:ilvl w:val="0"/>
          <w:numId w:val="1016"/>
        </w:numPr>
        <w:pStyle w:val="24"/>
      </w:pPr>
      <w:r>
        <w:t xml:space="preserve">优化空调制冷系统：</w:t>
      </w:r>
    </w:p>
    <w:p>
      <w:pPr>
        <w:numPr>
          <w:ilvl w:val="1"/>
          <w:numId w:val="1019"/>
        </w:numPr>
        <w:pStyle w:val="24"/>
      </w:pPr>
      <w:r>
        <w:t xml:space="preserve">优化空调和制冷系统的设置，合理控制温度和湿度，降低空调能耗。</w:t>
      </w:r>
    </w:p>
    <w:p>
      <w:pPr>
        <w:numPr>
          <w:ilvl w:val="0"/>
          <w:numId w:val="1016"/>
        </w:numPr>
        <w:pStyle w:val="24"/>
      </w:pPr>
      <w:r>
        <w:t xml:space="preserve">设备使用规范：</w:t>
      </w:r>
    </w:p>
    <w:p>
      <w:pPr>
        <w:numPr>
          <w:ilvl w:val="1"/>
          <w:numId w:val="1020"/>
        </w:numPr>
        <w:pStyle w:val="24"/>
      </w:pPr>
      <w:r>
        <w:t xml:space="preserve">制定医疗设备使用规范，合理使用医疗设备和耗材，减少不必要的能源浪费。</w:t>
      </w:r>
    </w:p>
    <w:p>
      <w:pPr>
        <w:numPr>
          <w:ilvl w:val="0"/>
          <w:numId w:val="1016"/>
        </w:numPr>
        <w:pStyle w:val="24"/>
      </w:pPr>
      <w:r>
        <w:t xml:space="preserve">能源管理监测：</w:t>
      </w:r>
    </w:p>
    <w:p>
      <w:pPr>
        <w:numPr>
          <w:ilvl w:val="1"/>
          <w:numId w:val="1021"/>
        </w:numPr>
        <w:pStyle w:val="24"/>
      </w:pPr>
      <w:r>
        <w:t xml:space="preserve">建立能源消耗监测系统，对各项能源消耗进行监控和分析，发现问题及时进行调整和改进。</w:t>
      </w:r>
    </w:p>
    <w:p>
      <w:pPr>
        <w:pStyle w:val="23"/>
      </w:pPr>
      <w:r>
        <w:t xml:space="preserve">通过以上改进措施的实施，我科争取有效降低能耗支出，提高能源利用效率，从而达到节能减排、降低成本的目的。</w:t>
      </w:r>
    </w:p>
    <w:bookmarkEnd w:id="67"/>
    <w:bookmarkEnd w:id="68"/>
    <w:bookmarkStart w:id="71" w:name="卫生材料占比"/>
    <w:p>
      <w:pPr>
        <w:pStyle w:val="5"/>
      </w:pPr>
      <w:r>
        <w:t xml:space="preserve">2.3.5 卫生材料占比</w:t>
      </w:r>
    </w:p>
    <w:bookmarkStart w:id="69" w:name="不达标原因分析-4"/>
    <w:p>
      <w:pPr>
        <w:pStyle w:val="6"/>
      </w:pPr>
      <w:r>
        <w:t xml:space="preserve">2.3.5.1 不达标原因分析</w:t>
      </w:r>
    </w:p>
    <w:p>
      <w:pPr>
        <w:numPr>
          <w:ilvl w:val="0"/>
          <w:numId w:val="1022"/>
        </w:numPr>
        <w:pStyle w:val="24"/>
      </w:pPr>
      <w:r>
        <w:t xml:space="preserve">疫情期间我科承担缓冲病房建设，救治危重患者多，导致卫生材料使用有所增加。</w:t>
      </w:r>
    </w:p>
    <w:p>
      <w:pPr>
        <w:numPr>
          <w:ilvl w:val="0"/>
          <w:numId w:val="1022"/>
        </w:numPr>
        <w:pStyle w:val="24"/>
      </w:pPr>
      <w:r>
        <w:t xml:space="preserve">价格波动：疫情期间，全球原材料价格上涨的情况下，卫生材料市场价格波动较大，可能导致收入占比不稳定，影响占比的达标情况。</w:t>
      </w:r>
    </w:p>
    <w:p>
      <w:pPr>
        <w:numPr>
          <w:ilvl w:val="0"/>
          <w:numId w:val="1022"/>
        </w:numPr>
        <w:pStyle w:val="24"/>
      </w:pPr>
      <w:r>
        <w:t xml:space="preserve">输血费计入卫生材料收入。</w:t>
      </w:r>
    </w:p>
    <w:bookmarkEnd w:id="69"/>
    <w:bookmarkStart w:id="70" w:name="改进措施及成效-3"/>
    <w:p>
      <w:pPr>
        <w:pStyle w:val="6"/>
      </w:pPr>
      <w:r>
        <w:t xml:space="preserve">2.3.5.2 改进措施及成效</w:t>
      </w:r>
    </w:p>
    <w:p>
      <w:pPr>
        <w:pStyle w:val="23"/>
      </w:pPr>
      <w:r>
        <w:t xml:space="preserve">针对上述情况，我们进行了以下改进措施：</w:t>
      </w:r>
    </w:p>
    <w:p>
      <w:pPr>
        <w:numPr>
          <w:ilvl w:val="0"/>
          <w:numId w:val="1023"/>
        </w:numPr>
        <w:pStyle w:val="24"/>
      </w:pPr>
      <w:r>
        <w:t xml:space="preserve">优化库存管理：</w:t>
      </w:r>
    </w:p>
    <w:p>
      <w:pPr>
        <w:numPr>
          <w:ilvl w:val="1"/>
          <w:numId w:val="1024"/>
        </w:numPr>
        <w:pStyle w:val="24"/>
      </w:pPr>
      <w:r>
        <w:t xml:space="preserve">针对疫情期间卫生材料使用增加的情况，优化库存管理，合理控制库存水平，减少过多库存的积压，降低资金占用成本。</w:t>
      </w:r>
    </w:p>
    <w:p>
      <w:pPr>
        <w:numPr>
          <w:ilvl w:val="0"/>
          <w:numId w:val="1023"/>
        </w:numPr>
        <w:pStyle w:val="24"/>
      </w:pPr>
      <w:r>
        <w:t xml:space="preserve">加强成本控制：</w:t>
      </w:r>
    </w:p>
    <w:p>
      <w:pPr>
        <w:numPr>
          <w:ilvl w:val="1"/>
          <w:numId w:val="1025"/>
        </w:numPr>
        <w:pStyle w:val="24"/>
      </w:pPr>
      <w:r>
        <w:t xml:space="preserve">针对全球原材料价格上涨的情况，加强成本控制，寻求替代消耗品，降低采购成本，确保卫生材料收入占比的稳定。</w:t>
      </w:r>
    </w:p>
    <w:p>
      <w:pPr>
        <w:numPr>
          <w:ilvl w:val="0"/>
          <w:numId w:val="1023"/>
        </w:numPr>
        <w:pStyle w:val="24"/>
      </w:pPr>
      <w:r>
        <w:t xml:space="preserve">合理输血：</w:t>
      </w:r>
    </w:p>
    <w:p>
      <w:pPr>
        <w:numPr>
          <w:ilvl w:val="1"/>
          <w:numId w:val="1026"/>
        </w:numPr>
        <w:pStyle w:val="24"/>
      </w:pPr>
      <w:r>
        <w:t xml:space="preserve">加强对临床用血的审核和质控，合理用血。</w:t>
      </w:r>
    </w:p>
    <w:p>
      <w:pPr>
        <w:pStyle w:val="23"/>
      </w:pPr>
      <w:r>
        <w:t xml:space="preserve">通过以上改进措施的实施，我科卫生材料收入占比控制良好，离目标值只有一步之遥，相差0.1%，有望第四季度完成任务。</w:t>
      </w:r>
    </w:p>
    <w:bookmarkEnd w:id="70"/>
    <w:bookmarkEnd w:id="71"/>
    <w:bookmarkEnd w:id="72"/>
    <w:bookmarkEnd w:id="73"/>
    <w:sectPr>
      <w:pgSz w:h="15840" w:w="12240"/>
      <w:pgMar w:bottom="1440" w:footer="720" w:gutter="0" w:header="720" w:left="1800" w:right="1800" w:top="1440"/>
      <w:cols w:num="1"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412">
    <w:nsid w:val="A99412"/>
    <w:multiLevelType w:val="multilevel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1"/>
  </w:num>
  <w:num w:numId="1025">
    <w:abstractNumId w:val="991"/>
  </w:num>
  <w:num w:numId="102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proofState w:grammar="clean" w:spelling="clean"/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splitPgBreakAndParaMark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eastAsia="zh-CN" w:val="en-US"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psCustomData="http://www.wps.cn/officeDocument/2013/wpsCustomData" mc:Ignorable="w14">
  <w:docDefaults>
    <w:rPrDefault>
      <w:rPr>
        <w:rFonts w:asciiTheme="minorHAnsi" w:cstheme="minorBidi" w:eastAsiaTheme="minorEastAsia" w:hAnsiTheme="minorHAnsi"/>
      </w:rPr>
    </w:rPrDefault>
    <w:pPrDefault/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/>
    <w:lsdException w:name="heading 3" w:qFormat="1" w:semiHidden="0" w:uiPriority="9"/>
    <w:lsdException w:name="heading 4" w:qFormat="1" w:semiHidden="0" w:uiPriority="9"/>
    <w:lsdException w:name="heading 5" w:qFormat="1" w:semiHidden="0" w:uiPriority="9"/>
    <w:lsdException w:name="heading 6" w:qFormat="1" w:semiHidden="0" w:uiPriority="9"/>
    <w:lsdException w:name="heading 7" w:qFormat="1" w:semiHidden="0" w:uiPriority="9"/>
    <w:lsdException w:name="heading 8" w:qFormat="1" w:semiHidden="0" w:uiPriority="9"/>
    <w:lsdException w:name="heading 9" w:qFormat="1" w:semiHidden="0" w:uiPriority="9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qFormat="1" w:semiHidden="0" w:uiPriority="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semiHidden="0" w:uiPriority="0" w:unhideWhenUsed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qFormat="1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qFormat="1" w:uiPriority="1"/>
    <w:lsdException w:name="Body Text" w:qFormat="1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qFormat="1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qFormat="1" w:semiHidden="0" w:uiPriority="9"/>
    <w:lsdException w:name="Hyperlink" w:qFormat="1" w:semiHidden="0" w:uiPriority="0" w:unhideWhenUsed="0"/>
    <w:lsdException w:name="FollowedHyperlink" w:semiHidden="0" w:uiPriority="0" w:unhideWhenUsed="0"/>
    <w:lsdException w:name="Strong" w:semiHidden="0" w:uiPriority="0" w:unhideWhenUsed="0"/>
    <w:lsdException w:name="Emphasis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99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spacing w:after="200"/>
    </w:pPr>
    <w:rPr>
      <w:rFonts w:asciiTheme="minorHAnsi" w:cstheme="minorBidi" w:eastAsiaTheme="minorHAnsi" w:hAnsiTheme="minorHAnsi"/>
      <w:sz w:val="24"/>
      <w:szCs w:val="24"/>
      <w:lang w:bidi="ar-SA" w:eastAsia="en-US" w:val="en-US"/>
    </w:rPr>
  </w:style>
  <w:style w:styleId="2" w:type="paragraph">
    <w:name w:val="heading 1"/>
    <w:basedOn w:val="1"/>
    <w:next w:val="3"/>
    <w:qFormat/>
    <w:uiPriority w:val="9"/>
    <w:pPr>
      <w:keepNext/>
      <w:keepLines/>
      <w:spacing w:after="0" w:before="480"/>
      <w:outlineLvl w:val="0"/>
    </w:pPr>
    <w:rPr>
      <w:rFonts w:ascii="Times New Roman Bold" w:cstheme="majorBidi" w:eastAsiaTheme="majorEastAsia" w:hAnsi="Times New Roman Bold"/>
      <w:b/>
      <w:bCs/>
      <w:color w:themeColor="text1" w:val="000000"/>
      <w:sz w:val="32"/>
      <w:szCs w:val="32"/>
    </w:rPr>
  </w:style>
  <w:style w:styleId="4" w:type="paragraph">
    <w:name w:val="heading 2"/>
    <w:basedOn w:val="1"/>
    <w:next w:val="3"/>
    <w:unhideWhenUsed/>
    <w:qFormat/>
    <w:uiPriority w:val="9"/>
    <w:pPr>
      <w:keepNext/>
      <w:keepLines/>
      <w:spacing w:after="0" w:before="200"/>
      <w:outlineLvl w:val="1"/>
    </w:pPr>
    <w:rPr>
      <w:rFonts w:ascii="Times New Roman Bold" w:cstheme="majorBidi" w:eastAsiaTheme="majorEastAsia" w:hAnsi="Times New Roman Bold"/>
      <w:b/>
      <w:bCs/>
      <w:color w:themeColor="text1" w:val="000000"/>
      <w:sz w:val="28"/>
      <w:szCs w:val="28"/>
    </w:rPr>
  </w:style>
  <w:style w:styleId="5" w:type="paragraph">
    <w:name w:val="heading 3"/>
    <w:basedOn w:val="1"/>
    <w:next w:val="3"/>
    <w:unhideWhenUsed/>
    <w:qFormat/>
    <w:uiPriority w:val="9"/>
    <w:pPr>
      <w:keepNext/>
      <w:keepLines/>
      <w:spacing w:after="0" w:before="200"/>
      <w:outlineLvl w:val="2"/>
    </w:pPr>
    <w:rPr>
      <w:rFonts w:ascii="Times New Roman Bold" w:cstheme="majorBidi" w:eastAsiaTheme="majorEastAsia" w:hAnsi="Times New Roman Bold"/>
      <w:b/>
      <w:bCs/>
      <w:color w:themeColor="text1" w:val="000000"/>
    </w:rPr>
  </w:style>
  <w:style w:styleId="6" w:type="paragraph">
    <w:name w:val="heading 4"/>
    <w:basedOn w:val="1"/>
    <w:next w:val="3"/>
    <w:unhideWhenUsed/>
    <w:qFormat/>
    <w:uiPriority w:val="9"/>
    <w:pPr>
      <w:keepNext/>
      <w:keepLines/>
      <w:spacing w:after="0" w:before="200"/>
      <w:outlineLvl w:val="3"/>
    </w:pPr>
    <w:rPr>
      <w:rFonts w:ascii="Times New Roman Italic" w:cstheme="majorBidi" w:eastAsiaTheme="majorEastAsia" w:hAnsi="Times New Roman Italic"/>
      <w:bCs/>
      <w:i/>
      <w:color w:themeColor="text1" w:val="000000"/>
    </w:rPr>
  </w:style>
  <w:style w:styleId="7" w:type="paragraph">
    <w:name w:val="heading 5"/>
    <w:basedOn w:val="1"/>
    <w:next w:val="3"/>
    <w:unhideWhenUsed/>
    <w:qFormat/>
    <w:uiPriority w:val="9"/>
    <w:pPr>
      <w:keepNext/>
      <w:keepLines/>
      <w:spacing w:after="0" w:before="200"/>
      <w:outlineLvl w:val="4"/>
    </w:pPr>
    <w:rPr>
      <w:rFonts w:ascii="Times New Roman" w:cstheme="majorBidi" w:eastAsiaTheme="majorEastAsia" w:hAnsi="Times New Roman"/>
      <w:iCs/>
      <w:color w:themeColor="text1" w:val="000000"/>
    </w:rPr>
  </w:style>
  <w:style w:styleId="8" w:type="paragraph">
    <w:name w:val="heading 6"/>
    <w:basedOn w:val="1"/>
    <w:next w:val="3"/>
    <w:unhideWhenUsed/>
    <w:qFormat/>
    <w:uiPriority w:val="9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text1" w:val="000000"/>
    </w:rPr>
  </w:style>
  <w:style w:styleId="9" w:type="paragraph">
    <w:name w:val="heading 7"/>
    <w:basedOn w:val="1"/>
    <w:next w:val="3"/>
    <w:unhideWhenUsed/>
    <w:qFormat/>
    <w:uiPriority w:val="9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text1" w:val="000000"/>
    </w:rPr>
  </w:style>
  <w:style w:styleId="10" w:type="paragraph">
    <w:name w:val="heading 8"/>
    <w:basedOn w:val="1"/>
    <w:next w:val="3"/>
    <w:unhideWhenUsed/>
    <w:qFormat/>
    <w:uiPriority w:val="9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val="000000"/>
    </w:rPr>
  </w:style>
  <w:style w:styleId="11" w:type="paragraph">
    <w:name w:val="heading 9"/>
    <w:basedOn w:val="1"/>
    <w:next w:val="3"/>
    <w:unhideWhenUsed/>
    <w:qFormat/>
    <w:uiPriority w:val="9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text1" w:val="000000"/>
    </w:rPr>
  </w:style>
  <w:style w:default="1" w:styleId="19" w:type="character">
    <w:name w:val="Default Paragraph Font"/>
    <w:semiHidden/>
    <w:unhideWhenUsed/>
    <w:qFormat/>
    <w:uiPriority w:val="1"/>
  </w:style>
  <w:style w:default="1" w:styleId="18" w:type="table">
    <w:name w:val="Normal Table"/>
    <w:semiHidden/>
    <w:unhideWhenUsed/>
    <w:uiPriority w:val="99"/>
    <w:tblPr>
      <w:tblCellMar>
        <w:top w:type="dxa" w:w="0"/>
        <w:left w:type="dxa" w:w="108"/>
        <w:bottom w:type="dxa" w:w="0"/>
        <w:right w:type="dxa" w:w="108"/>
      </w:tblCellMar>
    </w:tblPr>
  </w:style>
  <w:style w:styleId="3" w:type="paragraph">
    <w:name w:val="Body Text"/>
    <w:basedOn w:val="1"/>
    <w:link w:val="21"/>
    <w:qFormat/>
    <w:uiPriority w:val="0"/>
    <w:pPr>
      <w:spacing w:after="180" w:before="180" w:line="360" w:lineRule="auto"/>
    </w:pPr>
    <w:rPr>
      <w:rFonts w:ascii="Times New Roman" w:eastAsiaTheme="minorEastAsia" w:hAnsi="Times New Roman"/>
    </w:rPr>
  </w:style>
  <w:style w:styleId="12" w:type="paragraph">
    <w:name w:val="caption"/>
    <w:basedOn w:val="1"/>
    <w:next w:val="1"/>
    <w:qFormat/>
    <w:uiPriority w:val="0"/>
    <w:pPr>
      <w:spacing w:after="120"/>
    </w:pPr>
    <w:rPr>
      <w:i/>
    </w:rPr>
  </w:style>
  <w:style w:styleId="13" w:type="paragraph">
    <w:name w:val="Block Text"/>
    <w:basedOn w:val="3"/>
    <w:next w:val="3"/>
    <w:unhideWhenUsed/>
    <w:qFormat/>
    <w:uiPriority w:val="9"/>
    <w:pPr>
      <w:spacing w:after="100" w:before="100"/>
      <w:ind w:left="480" w:right="480"/>
    </w:pPr>
  </w:style>
  <w:style w:styleId="14" w:type="paragraph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cstheme="minorBidi" w:eastAsiaTheme="minorHAnsi" w:hAnsiTheme="minorHAnsi"/>
      <w:sz w:val="24"/>
      <w:szCs w:val="24"/>
      <w:lang w:bidi="ar-SA" w:eastAsia="en-US" w:val="en-US"/>
    </w:rPr>
  </w:style>
  <w:style w:styleId="15" w:type="paragraph">
    <w:name w:val="Subtitle"/>
    <w:basedOn w:val="16"/>
    <w:next w:val="3"/>
    <w:qFormat/>
    <w:uiPriority w:val="0"/>
    <w:pPr>
      <w:spacing w:before="240"/>
    </w:pPr>
    <w:rPr>
      <w:sz w:val="30"/>
      <w:szCs w:val="30"/>
    </w:rPr>
  </w:style>
  <w:style w:styleId="16" w:type="paragraph">
    <w:name w:val="Title"/>
    <w:basedOn w:val="1"/>
    <w:next w:val="3"/>
    <w:qFormat/>
    <w:uiPriority w:val="0"/>
    <w:pPr>
      <w:keepNext/>
      <w:keepLines/>
      <w:spacing w:after="240" w:before="480"/>
      <w:jc w:val="center"/>
    </w:pPr>
    <w:rPr>
      <w:rFonts w:ascii="Times New Roman Bold" w:cstheme="majorBidi" w:eastAsiaTheme="majorEastAsia" w:hAnsi="Times New Roman Bold"/>
      <w:b/>
      <w:bCs/>
      <w:color w:themeColor="text1" w:val="000000"/>
      <w:sz w:val="36"/>
    </w:rPr>
  </w:style>
  <w:style w:styleId="17" w:type="paragraph">
    <w:name w:val="footnote text"/>
    <w:basedOn w:val="1"/>
    <w:unhideWhenUsed/>
    <w:qFormat/>
    <w:uiPriority w:val="9"/>
  </w:style>
  <w:style w:styleId="20" w:type="character">
    <w:name w:val="Hyperlink"/>
    <w:basedOn w:val="21"/>
    <w:qFormat/>
    <w:uiPriority w:val="0"/>
    <w:rPr>
      <w:rFonts w:ascii="Times New Roman" w:eastAsiaTheme="minorEastAsia" w:hAnsi="Times New Roman"/>
      <w:color w:themeColor="accent1" w:val="4F81BD"/>
    </w:rPr>
  </w:style>
  <w:style w:customStyle="1" w:styleId="21" w:type="character">
    <w:name w:val="正文文本 字符"/>
    <w:basedOn w:val="19"/>
    <w:link w:val="3"/>
    <w:qFormat/>
    <w:uiPriority w:val="0"/>
    <w:rPr>
      <w:rFonts w:ascii="Times New Roman" w:eastAsiaTheme="minorEastAsia" w:hAnsi="Times New Roman"/>
    </w:rPr>
  </w:style>
  <w:style w:styleId="22" w:type="character">
    <w:name w:val="footnote reference"/>
    <w:basedOn w:val="21"/>
    <w:qFormat/>
    <w:uiPriority w:val="0"/>
    <w:rPr>
      <w:rFonts w:ascii="Times New Roman" w:eastAsiaTheme="minorEastAsia" w:hAnsi="Times New Roman"/>
      <w:vertAlign w:val="superscript"/>
    </w:rPr>
  </w:style>
  <w:style w:customStyle="1" w:styleId="23" w:type="paragraph">
    <w:name w:val="First Paragraph"/>
    <w:basedOn w:val="3"/>
    <w:next w:val="3"/>
    <w:qFormat/>
    <w:uiPriority w:val="0"/>
  </w:style>
  <w:style w:customStyle="1" w:styleId="24" w:type="paragraph">
    <w:name w:val="Compact"/>
    <w:basedOn w:val="3"/>
    <w:qFormat/>
    <w:uiPriority w:val="0"/>
    <w:pPr>
      <w:spacing w:after="36" w:before="36"/>
    </w:pPr>
  </w:style>
  <w:style w:customStyle="1" w:styleId="25" w:type="paragraph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cstheme="minorBidi" w:eastAsiaTheme="minorHAnsi" w:hAnsiTheme="minorHAnsi"/>
      <w:sz w:val="24"/>
      <w:szCs w:val="24"/>
      <w:lang w:bidi="ar-SA" w:eastAsia="en-US" w:val="en-US"/>
    </w:rPr>
  </w:style>
  <w:style w:customStyle="1" w:styleId="26" w:type="paragraph">
    <w:name w:val="Abstract"/>
    <w:basedOn w:val="1"/>
    <w:next w:val="3"/>
    <w:qFormat/>
    <w:uiPriority w:val="0"/>
    <w:pPr>
      <w:keepNext/>
      <w:keepLines/>
      <w:spacing w:after="300" w:before="300"/>
    </w:pPr>
    <w:rPr>
      <w:sz w:val="20"/>
      <w:szCs w:val="20"/>
    </w:rPr>
  </w:style>
  <w:style w:customStyle="1" w:styleId="27" w:type="paragraph">
    <w:name w:val="书目1"/>
    <w:basedOn w:val="1"/>
    <w:qFormat/>
    <w:uiPriority w:val="0"/>
  </w:style>
  <w:style w:customStyle="1" w:styleId="28" w:type="table">
    <w:name w:val="Table"/>
    <w:semiHidden/>
    <w:unhideWhenUsed/>
    <w:qFormat/>
    <w:uiPriority w:val="0"/>
    <w:tblPr>
      <w:tblCellMar>
        <w:top w:type="dxa" w:w="0"/>
        <w:left w:type="dxa" w:w="108"/>
        <w:bottom w:type="dxa" w:w="0"/>
        <w:right w:type="dxa" w:w="108"/>
      </w:tblCellMar>
    </w:tblPr>
    <w:tblStylePr w:type="firstRow">
      <w:tcPr>
        <w:tcBorders>
          <w:bottom w:color="auto" w:space="0" w:sz="0" w:val="single"/>
        </w:tcBorders>
        <w:vAlign w:val="bottom"/>
      </w:tcPr>
    </w:tblStylePr>
  </w:style>
  <w:style w:customStyle="1" w:styleId="29" w:type="paragraph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customStyle="1" w:styleId="30" w:type="paragraph">
    <w:name w:val="Definition"/>
    <w:basedOn w:val="1"/>
    <w:qFormat/>
    <w:uiPriority w:val="0"/>
  </w:style>
  <w:style w:customStyle="1" w:styleId="31" w:type="paragraph">
    <w:name w:val="Table Caption"/>
    <w:basedOn w:val="12"/>
    <w:qFormat/>
    <w:uiPriority w:val="0"/>
    <w:pPr>
      <w:keepNext/>
    </w:pPr>
    <w:rPr>
      <w:rFonts w:eastAsiaTheme="minorEastAsia"/>
      <w:i w:val="0"/>
    </w:rPr>
  </w:style>
  <w:style w:customStyle="1" w:styleId="32" w:type="paragraph">
    <w:name w:val="Image Caption"/>
    <w:basedOn w:val="12"/>
    <w:qFormat/>
    <w:uiPriority w:val="0"/>
    <w:rPr>
      <w:rFonts w:eastAsiaTheme="minorEastAsia"/>
      <w:i w:val="0"/>
    </w:rPr>
  </w:style>
  <w:style w:customStyle="1" w:styleId="33" w:type="paragraph">
    <w:name w:val="Figure"/>
    <w:basedOn w:val="1"/>
    <w:qFormat/>
    <w:uiPriority w:val="0"/>
  </w:style>
  <w:style w:customStyle="1" w:styleId="34" w:type="paragraph">
    <w:name w:val="Captioned Figure"/>
    <w:basedOn w:val="33"/>
    <w:qFormat/>
    <w:uiPriority w:val="0"/>
    <w:pPr>
      <w:keepNext/>
    </w:pPr>
  </w:style>
  <w:style w:customStyle="1" w:styleId="35" w:type="character">
    <w:name w:val="Verbatim Char"/>
    <w:basedOn w:val="21"/>
    <w:qFormat/>
    <w:uiPriority w:val="0"/>
    <w:rPr>
      <w:rFonts w:ascii="Consolas" w:eastAsiaTheme="minorEastAsia" w:hAnsi="Consolas"/>
      <w:sz w:val="22"/>
    </w:rPr>
  </w:style>
  <w:style w:customStyle="1" w:styleId="36" w:type="character">
    <w:name w:val="Section Number"/>
    <w:basedOn w:val="21"/>
    <w:qFormat/>
    <w:uiPriority w:val="0"/>
    <w:rPr>
      <w:rFonts w:ascii="Times New Roman" w:eastAsiaTheme="minorEastAsia" w:hAnsi="Times New Roman"/>
    </w:rPr>
  </w:style>
  <w:style w:customStyle="1" w:styleId="37" w:type="paragraph">
    <w:name w:val="TOC 标题1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/>
      <w:b w:val="0"/>
      <w:bCs w:val="0"/>
      <w:color w:themeColor="accent1" w:themeShade="BF" w:val="3660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9" Target="media/rId29.jpg" /><Relationship Type="http://schemas.openxmlformats.org/officeDocument/2006/relationships/image" Id="rId44" Target="media/rId44.png" /><Relationship Type="http://schemas.openxmlformats.org/officeDocument/2006/relationships/image" Id="rId48" Target="media/rId48.png" /><Relationship Type="http://schemas.openxmlformats.org/officeDocument/2006/relationships/image" Id="rId57" Target="media/rId57.png" /><Relationship Type="http://schemas.openxmlformats.org/officeDocument/2006/relationships/hyperlink" Id="rId20" Target="data/&#20851;&#20110;&#21360;&#21457;&#12298;&#19978;&#21322;&#24180;&#21307;&#38498;&#32463;&#27982;&#36816;&#33829;&#20998;&#26512;&#25253;&#21578;&#8220;&#31532;&#22235;&#35937;&#38480;&#8221;&#24110;&#25206;&#36131;&#20219;&#20998;&#24037;&#34920;&#12299;&#30340;&#36890;&#30693;%20(1).pdf" TargetMode="External" /><Relationship Type="http://schemas.openxmlformats.org/officeDocument/2006/relationships/hyperlink" Id="rId22" Target="https://kdocs.cn/l/cd1iMG23mLzT" TargetMode="External" /><Relationship Type="http://schemas.openxmlformats.org/officeDocument/2006/relationships/hyperlink" Id="rId25" Target="https://kdocs.cn/l/cfTREn247bTL" TargetMode="External" /><Relationship Type="http://schemas.openxmlformats.org/officeDocument/2006/relationships/hyperlink" Id="rId23" Target="https://kdocs.cn/l/coeKXluBLSpE" TargetMode="External" /><Relationship Type="http://schemas.openxmlformats.org/officeDocument/2006/relationships/hyperlink" Id="rId21" Target="https://kdocs.cn/l/cs4QkphtX5Fb" TargetMode="External" /><Relationship Type="http://schemas.openxmlformats.org/officeDocument/2006/relationships/hyperlink" Id="rId24" Target="https://kdocs.cn/l/ctqTAzf9RgK0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data/&#20851;&#20110;&#21360;&#21457;&#12298;&#19978;&#21322;&#24180;&#21307;&#38498;&#32463;&#27982;&#36816;&#33829;&#20998;&#26512;&#25253;&#21578;&#8220;&#31532;&#22235;&#35937;&#38480;&#8221;&#24110;&#25206;&#36131;&#20219;&#20998;&#24037;&#34920;&#12299;&#30340;&#36890;&#30693;%20(1).pdf" TargetMode="External" /><Relationship Type="http://schemas.openxmlformats.org/officeDocument/2006/relationships/hyperlink" Id="rId22" Target="https://kdocs.cn/l/cd1iMG23mLzT" TargetMode="External" /><Relationship Type="http://schemas.openxmlformats.org/officeDocument/2006/relationships/hyperlink" Id="rId25" Target="https://kdocs.cn/l/cfTREn247bTL" TargetMode="External" /><Relationship Type="http://schemas.openxmlformats.org/officeDocument/2006/relationships/hyperlink" Id="rId23" Target="https://kdocs.cn/l/coeKXluBLSpE" TargetMode="External" /><Relationship Type="http://schemas.openxmlformats.org/officeDocument/2006/relationships/hyperlink" Id="rId21" Target="https://kdocs.cn/l/cs4QkphtX5Fb" TargetMode="External" /><Relationship Type="http://schemas.openxmlformats.org/officeDocument/2006/relationships/hyperlink" Id="rId24" Target="https://kdocs.cn/l/ctqTAzf9RgK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307</Characters>
  <Lines>34</Lines>
  <Paragraphs>35</Paragraphs>
  <TotalTime>20</TotalTime>
  <ScaleCrop>false</ScaleCrop>
  <LinksUpToDate>false</LinksUpToDate>
  <CharactersWithSpaces>324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公立医院绩效考核</dc:title>
  <dc:creator>重症医学科三区</dc:creator>
  <dc:description>分析与文书</dc:description>
  <cp:keywords/>
  <dcterms:created xsi:type="dcterms:W3CDTF">2024-02-18T15:46:42Z</dcterms:created>
  <dcterms:modified xsi:type="dcterms:W3CDTF">2024-02-18T15:46:42Z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rossref">
    <vt:lpwstr/>
  </property>
  <property fmtid="{D5CDD505-2E9C-101B-9397-08002B2CF9AE}" pid="7" name="date">
    <vt:lpwstr>2024-02-18</vt:lpwstr>
  </property>
  <property fmtid="{D5CDD505-2E9C-101B-9397-08002B2CF9AE}" pid="8" name="execute">
    <vt:lpwstr/>
  </property>
  <property fmtid="{D5CDD505-2E9C-101B-9397-08002B2CF9AE}" pid="9" name="header-includes">
    <vt:lpwstr/>
  </property>
  <property fmtid="{D5CDD505-2E9C-101B-9397-08002B2CF9AE}" pid="10" name="image">
    <vt:lpwstr>https://pic.rmb.bdstatic.com/bjh/6cd8bf1dbf86f024c40495732aaea180.jpeg</vt:lpwstr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number-depth">
    <vt:lpwstr>5</vt:lpwstr>
  </property>
  <property fmtid="{D5CDD505-2E9C-101B-9397-08002B2CF9AE}" pid="15" name="subtitle">
    <vt:lpwstr>方便查找</vt:lpwstr>
  </property>
  <property fmtid="{D5CDD505-2E9C-101B-9397-08002B2CF9AE}" pid="16" name="title-block-banner">
    <vt:lpwstr>True</vt:lpwstr>
  </property>
  <property fmtid="{D5CDD505-2E9C-101B-9397-08002B2CF9AE}" pid="17" name="toc-title">
    <vt:lpwstr>Table of contents</vt:lpwstr>
  </property>
</Properties>
</file>